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The Birthmark Protocol: Achieving Semantic Non-Assembly in Media Provenance</w:t>
      </w:r>
    </w:p>
    <w:p>
      <w:pPr>
        <w:pStyle w:val="BodyText"/>
      </w:pPr>
      <w:r>
        <w:rPr>
          <w:bCs/>
          <w:b/>
        </w:rPr>
        <w:t xml:space="preserve">Sam Ryan</w:t>
      </w:r>
    </w:p>
    <w:p>
      <w:pPr>
        <w:pStyle w:val="BodyText"/>
      </w:pPr>
      <w:r>
        <w:t xml:space="preserve">The Birthmark Standard Foundation</w:t>
      </w:r>
    </w:p>
    <w:p>
      <w:pPr>
        <w:pStyle w:val="BodyText"/>
      </w:pPr>
      <w:r>
        <w:t xml:space="preserve">Portland, OR, United States</w:t>
      </w:r>
    </w:p>
    <w:p>
      <w:pPr>
        <w:pStyle w:val="BodyText"/>
      </w:pPr>
      <w:r>
        <w:t xml:space="preserve">contact@birthmarkstandard.org</w:t>
      </w:r>
    </w:p>
    <w:p>
      <w:pPr>
        <w:pStyle w:val="BodyText"/>
      </w:pPr>
      <w:r>
        <w:t xml:space="preserve">ORCID: 0009-0000-1862-0417</w:t>
      </w:r>
    </w:p>
    <w:p>
      <w:pPr>
        <w:pStyle w:val="BodyText"/>
      </w:pPr>
      <w:r>
        <w:rPr>
          <w:bCs/>
          <w:b/>
        </w:rPr>
        <w:t xml:space="preserve">ABSTRACT</w:t>
      </w:r>
    </w:p>
    <w:p>
      <w:pPr>
        <w:pStyle w:val="BodyText"/>
      </w:pPr>
      <w:r>
        <w:t xml:space="preserve">The Birthmark Protocol is a two-channel provenance architecture that separates a device’s credential from content’s identifying hash across delivery paths and encryption boundaries, so that no single component’s compromise, including the credential validator’s, is sufficient to determine which device produced which content; correlation requires coordinated compromise across components, confirmed in Appendix A.3. We formalize the property this separation targets as Semantic Non-Assembly (SNA): a structural privacy property, built from established separation and information-hiding strategies but given a precise, executable threshold, characterized not by the difficulty of achieving exposure but by the information yield of exposure when it occurs. An architecture satisfies Semantic Non-Assembly when no coalition of fewer than a defined threshold of components can assemble a sufficient input to a target identification function; complete exposure and decryption of any sub-threshold component yields no actionable data. Seven properties are established with executable ProVerif proofs: Device Non-Correlation, Registry Observer Non-Identification, Submission Server Blindness, and four single-component compromise-resistance results, covering C, the credential validator, a content-channel server, and a gatekeeper in turn, confirming that no single component is sufficient for correlation. A reference deployment, the Birthmark Standard, shows the protocol viable on constrained capture hardware where zero-knowledge approaches are computationally infeasible, from published-benchmark cost estimates rather than measurement of an implementation (Appendix B); its extended governance model and further mitigations are documented separately in [4]. All formal properties and their scope are stated in Appendix A.</w:t>
      </w:r>
    </w:p>
    <w:p>
      <w:pPr>
        <w:pStyle w:val="BodyText"/>
      </w:pPr>
      <w:r>
        <w:rPr>
          <w:bCs/>
          <w:b/>
        </w:rPr>
        <w:t xml:space="preserve">CCS Concepts: </w:t>
      </w:r>
      <w:r>
        <w:t xml:space="preserve">• Security and privacy → </w:t>
      </w:r>
      <w:r>
        <w:rPr>
          <w:iCs/>
          <w:i/>
        </w:rPr>
        <w:t xml:space="preserve">Privacy-preserving protocols</w:t>
      </w:r>
      <w:r>
        <w:t xml:space="preserve"> (Primary); </w:t>
      </w:r>
      <w:r>
        <w:rPr>
          <w:iCs/>
          <w:i/>
        </w:rPr>
        <w:t xml:space="preserve">Formal methods and theory of security</w:t>
      </w:r>
      <w:r>
        <w:t xml:space="preserve">; </w:t>
      </w:r>
      <w:r>
        <w:rPr>
          <w:iCs/>
          <w:i/>
        </w:rPr>
        <w:t xml:space="preserve">Privacy protections</w:t>
      </w:r>
      <w:r>
        <w:t xml:space="preserve">; </w:t>
      </w:r>
      <w:r>
        <w:rPr>
          <w:iCs/>
          <w:i/>
        </w:rPr>
        <w:t xml:space="preserve">Information flow control</w:t>
      </w:r>
      <w:r>
        <w:t xml:space="preserve">.</w:t>
      </w:r>
    </w:p>
    <w:p>
      <w:pPr>
        <w:pStyle w:val="BodyText"/>
      </w:pPr>
      <w:r>
        <w:rPr>
          <w:bCs/>
          <w:b/>
        </w:rPr>
        <w:t xml:space="preserve">Additional Keywords and Phrases: </w:t>
      </w:r>
      <w:r>
        <w:t xml:space="preserve">Birthmark Protocol, semantic non-assembly, privacy-by-design, data minimization, architectural privacy, ProVerif, media provenance, Birthmark Standard</w:t>
      </w:r>
    </w:p>
    <w:p>
      <w:pPr>
        <w:pStyle w:val="BodyText"/>
      </w:pPr>
      <w:r>
        <w:rPr>
          <w:bCs/>
          <w:b/>
        </w:rPr>
        <w:t xml:space="preserve">ACM Reference Format:</w:t>
      </w:r>
    </w:p>
    <w:p>
      <w:pPr>
        <w:pStyle w:val="BodyText"/>
      </w:pPr>
      <w:r>
        <w:t xml:space="preserve">Sam Ryan. 2026. The Birthmark Protocol: Achieving Semantic Non-Assembly in Media Provenance. </w:t>
      </w:r>
      <w:r>
        <w:rPr>
          <w:iCs/>
          <w:i/>
        </w:rPr>
        <w:t xml:space="preserve">ACM Trans. Priv. Secur.</w:t>
      </w:r>
      <w:r>
        <w:t xml:space="preserve"> 1, 1, Article 1 (January 2026), 22 pages. https://doi.org/XXXXXXX.XXXXXXX</w:t>
      </w:r>
    </w:p>
    <w:p>
      <w:pPr>
        <w:pStyle w:val="BodyText"/>
      </w:pPr>
      <w:r>
        <w:rPr>
          <w:bCs/>
          <w:b/>
        </w:rPr>
        <w:t xml:space="preserve">1 INTRODUCTION</w:t>
      </w:r>
    </w:p>
    <w:p>
      <w:pPr>
        <w:pStyle w:val="BodyText"/>
      </w:pPr>
      <w:r>
        <w:t xml:space="preserve">Component compromise is no longer an exceptional event. The Identity Theft Resource Center recorded 3,322 US data compromises in 2025, a new all-time high and a 79% increase over the preceding five years, the third consecutive year above 3,000 [17]. Designing systems around the prevention of compromise, rather than its consequences, is accordingly insufficient. A system whose privacy guarantee degrades to zero on single-component exposure has, in practice, no privacy guarantee at all. The prevailing frameworks (confidentiality, access control, information flow control, statistical disclosure limitation) address how to restrict access to sensitive information that exists somewhere in the system. None addresses the case where the armor has been pierced. All assume a store to protect, and all fail when that store is exposed. What is needed is a class of system that concedes nothing on component exposure, because there is nothing to concede.</w:t>
      </w:r>
    </w:p>
    <w:p>
      <w:pPr>
        <w:pStyle w:val="BodyText"/>
      </w:pPr>
      <w:r>
        <w:t xml:space="preserve">A provenance architecture illustrates the requirement: a device must be linkable to authenticated content, but only under specific authorized conditions. The privacy challenge is ensuring no component accumulates sufficient information to perform it without authorization. This paper asks: can a system be architected such that complete, authorized exposure of any single component (including full decryption of its contents) yields no information sufficient to execute the target identification function? In a threat environment where component exposure is probable, the yield of exposure is a more actionable security property than its difficulty. The Birthmark Protocol answers this question affirmatively, by giving Hoepman’s SEPARATE and HIDE privacy design strategies [13] a precise, executable threshold we call Semantic Non-Assembly.</w:t>
      </w:r>
    </w:p>
    <w:p>
      <w:pPr>
        <w:pStyle w:val="BodyText"/>
      </w:pPr>
      <w:r>
        <w:t xml:space="preserve">The contributions of this paper are:</w:t>
      </w:r>
    </w:p>
    <w:p>
      <w:pPr>
        <w:numPr>
          <w:ilvl w:val="0"/>
          <w:numId w:val="1001"/>
        </w:numPr>
      </w:pPr>
      <w:r>
        <w:t xml:space="preserve">Semantic Non-Assembly as a formalized, machine-checked privacy property: a structural threshold characterizing privacy by the information yield of component exposure, not the difficulty of achieving it, composing Hoepman’s SEPARATE and HIDE strategies into an executable threshold (Sections 1.1 and 4).</w:t>
      </w:r>
    </w:p>
    <w:p>
      <w:pPr>
        <w:numPr>
          <w:ilvl w:val="0"/>
          <w:numId w:val="1001"/>
        </w:numPr>
      </w:pPr>
      <w:r>
        <w:t xml:space="preserve">The Birthmark Protocol, a two-channel provenance architecture instantiating the guarantee, with ProVerif proofs of Device Non-Correlation, Registry Observer Non-Identification, and Submission Server Blindness (Properties A to C), and of resistance to single-component compromise of C, the credential validator, a content-channel server, or a gatekeeper (Properties D, E, F, and J); the models reflect the reference deployment’s use of ECIES for credential encryption.</w:t>
      </w:r>
    </w:p>
    <w:p>
      <w:pPr>
        <w:numPr>
          <w:ilvl w:val="0"/>
          <w:numId w:val="1001"/>
        </w:numPr>
      </w:pPr>
      <w:r>
        <w:t xml:space="preserve">The Birthmark Standard as a reference instantiation demonstrating deployability on constrained capture hardware (Section 5). Full implementation details are documented in the extended technical report [4].</w:t>
      </w:r>
    </w:p>
    <w:p>
      <w:pPr>
        <w:pStyle w:val="FirstParagraph"/>
      </w:pPr>
      <w:r>
        <w:rPr>
          <w:bCs/>
          <w:b/>
        </w:rPr>
        <w:t xml:space="preserve">1.1 Semantic Non-Assembly</w:t>
      </w:r>
    </w:p>
    <w:p>
      <w:pPr>
        <w:pStyle w:val="BodyText"/>
      </w:pPr>
      <w:r>
        <w:t xml:space="preserve">SNA prevents evaluation of a designated predicate by preventing any sub-threshold coalition from assembling a sufficient assignment to its input domain. The term “semantic” here refers to the meaning level of information (what the data enables with respect to f) rather than to semantic security in the cryptographic sense. Formally: an architecture satisfies semantic non-assembly with respect to predicate f and threshold t if no coalition of fewer than t+1 components can assemble a state from which f is computable. A sufficient state is any combination of information fields whose values together enable execution of f; semantic non-assembly requires that no sub-threshold coalition can assemble such a combination. For device attribution in media provenance, f is the function that links a specific capture device to specific authenticated content; a sufficient state is any combination of device identity and content record that enables execution of that linkage. The threshold t formalizes the adversary assumption: an architecture satisfying semantic non-assembly at t=1 remains private under any single-component compromise; larger t tolerates broader coordinated compromise. Equivalently: complete exposure and full decryption of any component below threshold t yields no actionable data with respect to f, because the sufficient state for f cannot be assembled from that component’s contents alone.</w:t>
      </w:r>
    </w:p>
    <w:p>
      <w:pPr>
        <w:pStyle w:val="BodyText"/>
      </w:pPr>
      <w:r>
        <w:t xml:space="preserve">The mechanism is architectural rather than procedural. A policy prohibition on co-locating sufficient information is not Semantic Non-Assembly; it is an access control rule applied to a system that has the capability to violate its privacy obligations. Semantic Non-Assembly requires that the architecture make co-location structurally impossible below the compromise threshold by design, not just by trust. This distinction matters for the adversary model: policy-based separation fails under insider threat or operator compromise; structural separation fails only under coordinated multi-component compromise at or above threshold t.</w:t>
      </w:r>
    </w:p>
    <w:p>
      <w:pPr>
        <w:pStyle w:val="BodyText"/>
      </w:pPr>
      <w:r>
        <w:t xml:space="preserve">This also means SNA is a claim about information state, not about operational scale or component count. A single, heavily centralized service satisfies Semantic Non-Assembly at the same threshold as many independently operated ones, provided its own information state never includes a sufficient assignment to f’s input domain; conversely, distributing a function across many independently operated organizations does not itself satisfy SNA if each one still holds enough of the sufficient state to compute f alone. Operational centralization, how many organizations run a given role, and semantic centralization, how much of the sufficient state any one of them holds, are different axes, and only the second is what the threshold t in this section’s definition constrains.</w:t>
      </w:r>
    </w:p>
    <w:p>
      <w:pPr>
        <w:pStyle w:val="BodyText"/>
      </w:pPr>
      <w:r>
        <w:t xml:space="preserve">Because SNA is defined at the level of predicate computability over a distributed information schema (rather than access restriction, flow control, or inference bounds), it addresses a different question than each major existing privacy mechanism:</w:t>
      </w:r>
    </w:p>
    <w:p>
      <w:pPr>
        <w:pStyle w:val="BodyText"/>
      </w:pPr>
      <w:r>
        <w:rPr>
          <w:bCs/>
          <w:b/>
        </w:rPr>
        <w:t xml:space="preserve">Confidentiality</w:t>
      </w:r>
      <w:r>
        <w:t xml:space="preserve"> restricts who can access information that exists in one place. Semantic Non-Assembly prevents the sufficient information set from existing in one place. A system with strong confidentiality can still be vulnerable to single-component compromise if that component holds sufficient information; Semantic Non-Assembly removes the sufficient-information set from the single-component threat surface entirely.</w:t>
      </w:r>
    </w:p>
    <w:p>
      <w:pPr>
        <w:pStyle w:val="BodyText"/>
      </w:pPr>
      <w:r>
        <w:rPr>
          <w:bCs/>
          <w:b/>
        </w:rPr>
        <w:t xml:space="preserve">Access control</w:t>
      </w:r>
      <w:r>
        <w:t xml:space="preserve"> mediates operations on existing stores. Semantic Non-Assembly eliminates the store. Access control failure (misconfigured permissions, insider threat, key compromise) yields the information regardless. Semantic Non-Assembly failure requires simultaneous failure of t+1 components.</w:t>
      </w:r>
    </w:p>
    <w:p>
      <w:pPr>
        <w:pStyle w:val="BodyText"/>
      </w:pPr>
      <w:r>
        <w:rPr>
          <w:bCs/>
          <w:b/>
        </w:rPr>
        <w:t xml:space="preserve">Information flow control</w:t>
      </w:r>
      <w:r>
        <w:t xml:space="preserve"> restricts propagation paths for data that exists at a source, using runtime policy enforcement or label-based tracking. SNA operates at design time: no component ever holds the sufficient information set, so there is no flow to restrict or label. An IFC policy can be bypassed under insider threat or misconfiguration; structural SNA cannot be bypassed below threshold t because the target state is architecturally absent, not just prohibited.</w:t>
      </w:r>
    </w:p>
    <w:p>
      <w:pPr>
        <w:pStyle w:val="BodyText"/>
      </w:pPr>
      <w:r>
        <w:rPr>
          <w:bCs/>
          <w:b/>
        </w:rPr>
        <w:t xml:space="preserve">Statistical disclosure limitation</w:t>
      </w:r>
      <w:r>
        <w:t xml:space="preserve"> bounds what can be inferred from released data by adding noise, suppression, or generalization. The object of protection is a dataset that exists somewhere. SNA prevents the sufficient information set from existing at any sub-threshold component: an adversary with single-component access has no dataset to apply inference to, not just bounded inference from one.</w:t>
      </w:r>
    </w:p>
    <w:p>
      <w:pPr>
        <w:pStyle w:val="BodyText"/>
      </w:pPr>
      <w:r>
        <w:t xml:space="preserve">Data minimization mitigates the consequences of exposure by reducing what exists to be taken; Section 2 relates this more precisely to Semantic Non-Assembly’s structural approach.</w:t>
      </w:r>
    </w:p>
    <w:p>
      <w:pPr>
        <w:pStyle w:val="BodyText"/>
      </w:pPr>
      <w:r>
        <w:t xml:space="preserve">The class of guarantee applies to systems where (a) the target identification function is defined and bounded, (b) the system designer controls which components hold which information fields, and (c) the privacy requirement is that the function be performable only under authorized conditions, not that it be permanently prevented. Provenance architectures are the canonical case: device-to-content linkage is the system’s purpose, and privacy requires that linkage be authorizable but not passively available.</w:t>
      </w:r>
    </w:p>
    <w:p>
      <w:pPr>
        <w:pStyle w:val="BodyText"/>
      </w:pPr>
      <w:r>
        <w:rPr>
          <w:bCs/>
          <w:b/>
        </w:rPr>
        <w:t xml:space="preserve">1.2 Scope</w:t>
      </w:r>
    </w:p>
    <w:p>
      <w:pPr>
        <w:pStyle w:val="BodyText"/>
      </w:pPr>
      <w:r>
        <w:t xml:space="preserve">The architecture verifies that content originated from a registered capture device. It does not verify scene truthfulness, content accuracy, staging authenticity, or editorial decisions. Privacy guarantees are computational rather than information-theoretic. The properties in Section 4 describe what is determinable by a party acting outside the consortium’s governance process, including any coalition below the cooperation threshold that process requires; they say nothing about, and do not foreclose, a separate governed mechanism by which cooperating consortium members could identify and revoke a specific device’s credential given a specific piece of content. Such a mechanism requires multi-party authorization and is outside this paper’s scope. This paper establishes the SNA definition, the formal properties verified in Appendix A, and the architecture independently. Hardware benchmarks and the full governance specification are documented in the extended technical report [4], which is an arXiv preprint not independently peer-reviewed at time of this submission.</w:t>
      </w:r>
    </w:p>
    <w:p>
      <w:pPr>
        <w:pStyle w:val="BodyText"/>
      </w:pPr>
      <w:r>
        <w:rPr>
          <w:bCs/>
          <w:b/>
        </w:rPr>
        <w:t xml:space="preserve">2 RELATED WORK</w:t>
      </w:r>
    </w:p>
    <w:p>
      <w:pPr>
        <w:pStyle w:val="BodyText"/>
      </w:pPr>
      <w:r>
        <w:t xml:space="preserve">This section positions Semantic Non-Assembly against existing privacy engineering frameworks. Confidentiality and access control are foundational [6]. Contextual integrity (Nissenbaum [11]) frames privacy as appropriate information flow relative to context norms. SNA is distinct: contextual integrity asks whether a given flow is appropriate relative to the norms of its context; SNA asks whether the sufficient state for a target function can be assembled at all, independent of whether any individual flow is norm-violating. A system can satisfy contextual integrity in every flow and still fail SNA if a single component accumulates a sufficient state through individually appropriate flows. Differential privacy (Dwork et al. [12]) provides formal guarantees for statistical data releases. k-anonymity and its successors (l-diversity, t-closeness) address quasi-identifier-based re-identification in tabular data. Purpose limitation under GDPR and similar frameworks imposes policy-level constraints on information use. None of these frameworks addresses the structural prevention of sufficient-information assembly in systems where the identification function is authorized but must not be passively available.</w:t>
      </w:r>
    </w:p>
    <w:p>
      <w:pPr>
        <w:pStyle w:val="BodyText"/>
      </w:pPr>
      <w:r>
        <w:rPr>
          <w:bCs/>
          <w:b/>
        </w:rPr>
        <w:t xml:space="preserve">Privacy by Design.</w:t>
      </w:r>
      <w:r>
        <w:t xml:space="preserve"> Cavoukian’s Privacy by Design [8] establishes seven foundational principles, including proactive rather than reactive protection and privacy embedded into design, widely adopted as governance and procurement guidance across industry and government. These are principles for how privacy should be approached during design, not a formal property a design either satisfies or fails. Semantic Non-Assembly is not a ninth principle in that tradition; it is a structural, machine-checked threshold applied to a specific architecture, verified rather than adopted as a commitment. A system can follow every Privacy by Design principle in good faith and still fail SNA, if a single component ends up holding a sufficient information set despite privacy-conscious intent at every design step; SNA asks a narrower, checkable question that principles-level guidance does not by itself answer.</w:t>
      </w:r>
    </w:p>
    <w:p>
      <w:pPr>
        <w:pStyle w:val="BodyText"/>
      </w:pPr>
      <w:r>
        <w:rPr>
          <w:bCs/>
          <w:b/>
        </w:rPr>
        <w:t xml:space="preserve">Privacy Design Strategies.</w:t>
      </w:r>
      <w:r>
        <w:t xml:space="preserve"> Hoepman [13] identifies eight privacy design strategies derived from data protection legislation, including SEPARATE (distributing personal data across compartments so no single store permits assembly of a complete profile) and HIDE (encryption, unlinkability, and mix networks that render individual data elements uninterpretable to an observer). Semantic Non-Assembly composes both strategies: content and credential fields are kept apart (SEPARATE), and each field is a one-way function of the underlying value rather than the value itself (HIDE). What SNA adds beyond either strategy is a formal predicate-computability threshold (Section 1.1) with an executable proof that no sub-threshold coalition can assemble the predicate’s input domain, where Hoepman’s strategies are design guidance rather than a formalized, machine-checked guarantee.</w:t>
      </w:r>
    </w:p>
    <w:p>
      <w:pPr>
        <w:pStyle w:val="BodyText"/>
      </w:pPr>
      <w:r>
        <w:rPr>
          <w:bCs/>
          <w:b/>
        </w:rPr>
        <w:t xml:space="preserve">Terminology.</w:t>
      </w:r>
      <w:r>
        <w:t xml:space="preserve"> The term “birthmark” is established in software security to describe intrinsic, origin-derived characteristics that permit identification of an artifact after transformation without embedding additional information into it, explicitly contrasted with watermarking, which does embed a signal [15]. We adopt the term for the same reason in a different domain: a registered device’s content hash is such a birthmark, an origin-derived characteristic that requires no embedded signal and is not weakened by its removal, unlike a watermark.</w:t>
      </w:r>
    </w:p>
    <w:p>
      <w:pPr>
        <w:pStyle w:val="BodyText"/>
      </w:pPr>
      <w:r>
        <w:rPr>
          <w:bCs/>
          <w:b/>
        </w:rPr>
        <w:t xml:space="preserve">Embedded Provenance.</w:t>
      </w:r>
      <w:r>
        <w:t xml:space="preserve"> C2PA embeds cryptographically signed manifests in media files [1], but social media platforms routinely strip metadata through compression and format conversion, severing provenance at distribution. C2PA’s soft bindings, perceptual fingerprints that survive some transformations and support content-based manifest lookup independent of the stripped metadata, partially address this: they trade guaranteed matching for tolerance of the transformations that break exact metadata survival, and depend on a fingerprint-lookup service rather than an external record. Storing verification records externally, as this architecture does, makes survival of in-band metadata loss a structural property rather than a platform dependency, without requiring perceptual tolerance in the first place. The failure modes differ: C2PA’s provenance integrity depends on metadata survival through the distribution chain, mitigated but not eliminated by soft bindings; the Birthmark Protocol’s privacy properties depend on audited constraint preservation across independently operated infrastructure components.</w:t>
      </w:r>
    </w:p>
    <w:p>
      <w:pPr>
        <w:pStyle w:val="BodyText"/>
      </w:pPr>
      <w:r>
        <w:rPr>
          <w:bCs/>
          <w:b/>
        </w:rPr>
        <w:t xml:space="preserve">Zero-Knowledge Proofs for Authentication.</w:t>
      </w:r>
      <w:r>
        <w:t xml:space="preserve"> ZK-SNARKs and ZK-STARKs enable proof of credential possession without credential disclosure [7]. Applied to device authentication, they allow a capture device to prove membership in a set of registered devices without identifying which member it is. The formal privacy guarantees are strong: correlation is prevented even against an adversary who compromises the credential validator, the same property this architecture also now establishes as Property E (Appendix A.3), though by a different mechanism, at a different point in the deployment-cost and trust-assumption tradeoff detailed in Section 6.1.</w:t>
      </w:r>
    </w:p>
    <w:p>
      <w:pPr>
        <w:pStyle w:val="BodyText"/>
      </w:pPr>
      <w:r>
        <w:rPr>
          <w:bCs/>
          <w:b/>
        </w:rPr>
        <w:t xml:space="preserve">Anonymous Credentials and Attestation. </w:t>
      </w:r>
      <w:r>
        <w:t xml:space="preserve">Privacy Pass [21] lets a client redeem a blindly-signed token proving it previously passed some check without the verifier learning which earlier check-completion event produced this token, the same blind-signature principle this architecture uses for BlindShare_key: an issuer signs a value it cannot read, and the value later travels unlinked to when it was issued. Direct Anonymous Attestation [22] lets a hardware module prove it is a genuine, certified device of a given type without revealing which specific device, unlinkable across repeated attestations by the same module; it is a widely deployed TPM standard, not a research proposal, and is arguably a closer prior comparison for the credential validator’s own device-membership check than the ZK-SNARK comparison above, since it targets the same query using signature schemes rather than circuit constructions, at a fraction of the computational cost. Neither addresses the second half of this architecture’s guarantee: keeping the resulting attestation from ever being co-located with the content it authenticates.</w:t>
      </w:r>
    </w:p>
    <w:p>
      <w:pPr>
        <w:pStyle w:val="BodyText"/>
      </w:pPr>
      <w:r>
        <w:rPr>
          <w:bCs/>
          <w:b/>
        </w:rPr>
        <w:t xml:space="preserve">Consortium Blockchains.</w:t>
      </w:r>
      <w:r>
        <w:t xml:space="preserve"> The Substrate framework, originating from the Polkadot heterogeneous multi-chain architecture [3], supports permissioned deployments with controlled validator sets independent of any public cryptocurrency. We use a consortium blockchain as an append-only registry for content hashes, providing tamper-resistance and public verifiability without token economics.</w:t>
      </w:r>
    </w:p>
    <w:p>
      <w:pPr>
        <w:pStyle w:val="BodyText"/>
      </w:pPr>
      <w:r>
        <w:rPr>
          <w:bCs/>
          <w:b/>
        </w:rPr>
        <w:t xml:space="preserve">Split-Knowledge Systems and Privacy Engineering.</w:t>
      </w:r>
      <w:r>
        <w:t xml:space="preserve"> The principle that no single party should hold sufficient information to perform a sensitive operation is established in information security through dual-control and split-knowledge architectures [6], used in financial institutions, key management systems, and cryptographic escrow. Split-knowledge architectures partition a single algebraic object (a key or secret value) into shares distributed across parties, such that reconstruction requires a threshold of shares; the object of protection is that algebraic element, and the mechanism is threshold reconstruction. Semantic Non-Assembly operates on a typed information schema rather than a single algebraic object: the object of protection is a predicate’s input domain (the set of information fields whose combination constitutes a sufficient input to the identification function), and the mechanism is preventing that domain from being assembled at any component below threshold t. A threshold scheme over a device credential and a content hash would combine them into a shared secret requiring t-of-n parties to reconstruct; Semantic Non-Assembly ensures the two fields are never co-located, making the threshold reconstruction question moot. The distinction matters under insider threat: a t-of-n threshold scheme fails when t colluding parties reconstruct the secret; Semantic Non-Assembly fails only when t+1 components are simultaneously compromised, and even then the adversary must assemble the sufficient set across components rather than reconstruct a pre-existing value.</w:t>
      </w:r>
    </w:p>
    <w:p>
      <w:pPr>
        <w:pStyle w:val="BodyText"/>
      </w:pPr>
      <w:r>
        <w:rPr>
          <w:bCs/>
          <w:b/>
        </w:rPr>
        <w:t xml:space="preserve">Delivery Without Recipient Knowledge. </w:t>
      </w:r>
      <w:r>
        <w:t xml:space="preserve">Oblivious HTTP [23] routes a client’s request through a relay that sees the client’s address but not the separately-encrypted request content, to a target server that sees the request but not the client’s address; no single party sees both. Signal’s sealed sender [24] similarly lets a messaging server deliver a message without learning who sent it, the sender’s identity travels encrypted within the envelope itself, recoverable only by the recipient. Both are deployed, production examples of the same no-single-delivery-party-learns-both-ends principle this architecture applies to its own relay layer (G6, Section 4.2); neither is designed around a public, queryable record of the kind this architecture posts to a registry. Sealed sender’s own record is also a caution rather than an endorsement: a subsequent analysis [25] showed the one-sided anonymity guarantee does not compose across a conversation, repeated messages between the same two parties can be statistically linked using delivery receipts in as few as five messages, the same class of cross-transaction correlation this architecture’s own empirical evaluation (Appendix D) tests directly rather than merely disclaiming.</w:t>
      </w:r>
    </w:p>
    <w:p>
      <w:pPr>
        <w:pStyle w:val="BodyText"/>
      </w:pPr>
      <w:r>
        <w:rPr>
          <w:bCs/>
          <w:b/>
        </w:rPr>
        <w:t xml:space="preserve">Architectural Information-Flow Reasoning.</w:t>
      </w:r>
      <w:r>
        <w:t xml:space="preserve"> Chong and van der Meyden [14] show that global information-flow security properties can be proved directly from an architecture’s causal structure together with local properties of its trusted components, generalizing intransitive noninterference to admit filtering between communicating domains, and give refinement results establishing that decomposing a component into subcomponents preserves a previously established property. Semantic Non-Assembly is an instance of this style of argument, applied to predicate computability rather than information-flow labels: Property A’s proof (Appendix A.2) derives a global non-correlation guarantee from the architecture’s channel structure and the validator’s local behavior, in the same spirit as deriving a global property from local component behavior and causal structure. Their refinement results are a natural candidate for formally verifying that extensions decomposing a single component’s role into multiple cooperating parties, as in deployments documented in [4], preserve the properties established here; this paper does not undertake that verification.</w:t>
      </w:r>
    </w:p>
    <w:p>
      <w:pPr>
        <w:pStyle w:val="BodyText"/>
      </w:pPr>
      <w:r>
        <w:t xml:space="preserve">Conventional data minimization seeks to reduce the amount of retained information. Semantic Non-Assembly instead minimizes the information available to any architectural component with respect to a designated identification function. The objective is structural absence of any sufficient state from which the function is computable, independent of record size. In this sense, Semantic Non-Assembly operationalizes data minimization at the level of predicate computability rather than record size, the same structural reading that satisfies GDPR’s data minimization principle (Article 5(1)(c): personal data must be adequate, relevant, and limited to what is necessary) as an architectural property rather than a policy constraint. Applying these established principles to public media provenance is, to our knowledge, not previously described in the literature. The resulting system is openly queryable while remaining semantically inert to observers who do not already possess the underlying media, all within the computational budget of a camera image signal processor (ISP).</w:t>
      </w:r>
    </w:p>
    <w:p>
      <w:pPr>
        <w:pStyle w:val="BodyText"/>
      </w:pPr>
      <w:r>
        <w:rPr>
          <w:bCs/>
          <w:b/>
        </w:rPr>
        <w:t xml:space="preserve">Multi-Party Computation and t-Privacy.</w:t>
      </w:r>
      <w:r>
        <w:t xml:space="preserve"> The zero-yield-at-threshold property recalls t-privacy in multi-party computation [10]: in a t-private MPC protocol, no coalition of fewer than t+1 parties can learn anything beyond what their inputs and outputs reveal. The distinction from Semantic Non-Assembly is structural. MPC t-privacy operates on computational protocols that distribute shares of input values across parties, such that no sub-threshold coalition can reconstruct the function’s inputs from its shares; the object of protection is the computational secrecy of input values during protocol execution. Semantic Non-Assembly operates on information architecture: the object of protection is the assembly of a sufficient state across components, and the guarantee holds independent of any protocol executed over that architecture. A system can satisfy SNA without executing any MPC protocol; an MPC protocol does not automatically confer SNA on the infrastructure it runs on. The two properties are orthogonal.</w:t>
      </w:r>
    </w:p>
    <w:p>
      <w:pPr>
        <w:pStyle w:val="BodyText"/>
      </w:pPr>
      <w:r>
        <w:t xml:space="preserve">Prio [26] extends split-trust principles to aggregate statistics collection: clients secret-share individual data across several non-colluding servers, which jointly compute a sum or count without any one server reconstructing an individual contribution. Prio’s object of protection is aggregate-statistic privacy across many clients’ inputs; Semantic Non-Assembly protects a single submission’s attribution, individually, regardless of how many other submissions exist. A system can satisfy Prio’s guarantee while still linking any one given submission to its device, since Prio’s privacy is a property of the aggregate, not of any individual contribution.</w:t>
      </w:r>
    </w:p>
    <w:p>
      <w:pPr>
        <w:pStyle w:val="BodyText"/>
      </w:pPr>
      <w:r>
        <w:rPr>
          <w:bCs/>
          <w:b/>
        </w:rPr>
        <w:t xml:space="preserve">3 ARCHITECTURE</w:t>
      </w:r>
    </w:p>
    <w:p>
      <w:pPr>
        <w:pStyle w:val="BodyText"/>
      </w:pPr>
      <w:r>
        <w:rPr>
          <w:bCs/>
          <w:b/>
        </w:rPr>
        <w:t xml:space="preserve">3.1 System Overview</w:t>
      </w:r>
    </w:p>
    <w:p>
      <w:pPr>
        <w:pStyle w:val="BodyText"/>
      </w:pPr>
      <w:r>
        <w:t xml:space="preserve">The architecture involves six roles: a capture device that generates a content hash and a device credential; a credential processor (C) that receives the credential packet, coordinates a blind-signature round trip with the credential validator, signs the approved record hash as a member of its eligible candidate pool using an unlinkable ring signature once genuine approval is confirmed, and fans the result out to three gatekeepers; three independently-keyed gatekeepers, each of which independently verifies both the validator’s signature and C’s signature before counter-signing and posting to its own paired match board, with a content-channel submission server proceeding only once the same record hash appears, correctly signed, on at least two of the three boards (Section 3.3); a credential validator that confirms whether a credential corresponds to a registered device, without ever recovering the record hash PacketHash in a form it can check against anything, since PacketHash reaches it only wrapped under a key C generates fresh per transaction and never shares (Section 3.2); two independently operated content-channel submission servers, each of which receives the content channel directly from the device and independently recomputes PacketHash for comparison against the two-of-three quorum (Section 3.3); and a verification registry (a consortium blockchain) that finalizes a content hash to the public record once two independently-submitted, distinctly-signed entries agree on it.</w:t>
      </w:r>
    </w:p>
    <w:p>
      <w:pPr>
        <w:pStyle w:val="BodyText"/>
      </w:pPr>
      <w:r>
        <w:t xml:space="preserve">Device registration is a prerequisite outside the scope of this architecture; credential provisioning is deployment-specific and may involve manufacturer enrollment, device initialization protocols, or similar mechanisms. The architecture defines what a credential validator must do (accept a submitted credential and return a pass/fail decision) without prescribing how enrollment is managed.</w:t>
      </w:r>
    </w:p>
    <w:p>
      <w:pPr>
        <w:pStyle w:val="BodyText"/>
      </w:pPr>
      <w:r>
        <w:t xml:space="preserve">Certified processing software (Section 4.2, G3) is a further, optional role: software that performs a deliberate edit to already-registered content and submits the result as a new transaction in its own right, with the editing application taking the device role and the developer’s own server taking the validator role, generating a new, chained registry submission rather than reusing the original capture’s credential. It is not part of the base submission path described above and does not affect the properties established for an unedited submission; its own scope and limits are addressed where it is introduced.</w:t>
      </w:r>
    </w:p>
    <w:p>
      <w:pPr>
        <w:jc w:val="center"/>
      </w:pPr>
      <w:r>
        <w:drawing>
          <wp:inline xmlns:wp="http://schemas.openxmlformats.org/drawingml/2006/wordprocessingDrawing" distT="0" distB="0" distL="0" distR="0">
            <wp:extent cx="5486400" cy="4336869"/>
            <wp:effectExtent l="0" t="0" r="0" b="0"/>
            <wp:docPr id="1" name="Figure1" descr="Architecture message flow diagram"/>
            <a:graphic xmlns:a="http://schemas.openxmlformats.org/drawingml/2006/main">
              <a:graphicData uri="http://schemas.openxmlformats.org/drawingml/2006/picture">
                <pic:pic xmlns:pic="http://schemas.openxmlformats.org/drawingml/2006/picture">
                  <pic:nvPicPr>
                    <pic:cNvPr id="1" name="Figure1"/>
                    <pic:cNvPicPr/>
                  </pic:nvPicPr>
                  <pic:blipFill>
                    <a:blip xmlns:r="http://schemas.openxmlformats.org/officeDocument/2006/relationships" r:embed="rIdFig1"/>
                    <a:stretch>
                      <a:fillRect/>
                    </a:stretch>
                  </pic:blipFill>
                  <pic:spPr>
                    <a:xfrm>
                      <a:off x="0" y="0"/>
                      <a:ext cx="5486400" cy="4336869"/>
                    </a:xfrm>
                    <a:prstGeom prst="rect">
                      <a:avLst/>
                    </a:prstGeom>
                  </pic:spPr>
                </pic:pic>
              </a:graphicData>
            </a:graphic>
          </wp:inline>
        </w:drawing>
      </w:r>
    </w:p>
    <w:p>
      <w:pPr>
        <w:pStyle w:val="BodyText"/>
        <w:jc w:val="center"/>
      </w:pPr>
      <w:r>
        <w:rPr>
          <w:i/>
        </w:rPr>
        <w:t xml:space="preserve">Figure 1. Message flow. The device sends its credential packet through a three-hop relay to C, which consults the Credential Validation Server and passes the validation packet to three gatekeepers and their Match Boards, and two copies of its content packet (shaded) through separate relays to F and I. F and I check the boards before submitting to the Blockchain Registry Node.</w:t>
      </w:r>
    </w:p>
    <w:p>
      <w:pPr>
        <w:pStyle w:val="BodyText"/>
      </w:pPr>
      <w:r>
        <w:rPr>
          <w:bCs/>
          <w:b/>
        </w:rPr>
        <w:t xml:space="preserve">3.2 Data Channels</w:t>
      </w:r>
    </w:p>
    <w:p>
      <w:pPr>
        <w:pStyle w:val="BodyText"/>
      </w:pPr>
      <w:r>
        <w:t xml:space="preserve">The architecture separates each submission into two independent data channels.</w:t>
      </w:r>
    </w:p>
    <w:p>
      <w:pPr>
        <w:pStyle w:val="BodyText"/>
      </w:pPr>
      <w:r>
        <w:rPr>
          <w:bCs/>
          <w:b/>
        </w:rPr>
        <w:t xml:space="preserve">The content channel</w:t>
      </w:r>
      <w:r>
        <w:t xml:space="preserve"> carries: a hash of the media content (ContentHash), derived by the capture device at the time of capture using SHA-256, applied uniformly rather than left to per-device choice, since a verifier recomputing the hash locally (Section 3.4) has no channel through which to learn which algorithm a given device used; a single-use nonce n (at least 128 bits, generated by a cryptographically secure random number generator) the device generates for this submission; a modification level indicator (zero for an unedited capture) describing post-capture processing; optional hashed metadata (timestamp, location) that enables selective disclosure without revealing values on-chain; and, for an edit, the parent record’s ContentHash. The device transmits the content channel to each of the two submission servers independently, via delivery paths each satisfying G6 (Section 4.2), so that neither submission server observes the device’s originating network address. Each copy is encrypted under the relay-terminus key of the server it is addressed to, the same relay-terminus scheme that protects the credential channel (below); a passive network observer without that specific server's key sees only ciphertext, not ContentHash or n.</w:t>
      </w:r>
    </w:p>
    <w:p>
      <w:pPr>
        <w:pStyle w:val="BodyText"/>
      </w:pPr>
      <w:r>
        <w:rPr>
          <w:bCs/>
          <w:b/>
        </w:rPr>
        <w:t xml:space="preserve">The credential channel</w:t>
      </w:r>
      <w:r>
        <w:t xml:space="preserve"> carries: an encrypted device token (the device’s hardware credential, encrypted under key material held exclusively by the credential validator); a key reference identifying which decryption key table and index the validator should use; and PacketHash = hash(ContentHash, n), included in the clear relative to this leg. Neither the token nor PacketHash is separately keyed for a specific recipient at this stage; both travel inside the credential packet under the same relay-terminus encryption (C-device_pk) every packet addressed to the credential processor (C) uses, and PacketHash becomes visible to C the moment it opens its own envelope. The device transmits the credential channel to C via a delivery path disjoint from the content channel and satisfying the same network-identity requirement: neither a content-channel server nor any intermediary on the content channel’s path ever receives credential-channel data, neither C nor any intermediary on its path ever receives ContentHash or n, and no intermediary on either path ever observes the device’s originating network address.</w:t>
      </w:r>
    </w:p>
    <w:p>
      <w:pPr>
        <w:pStyle w:val="BodyText"/>
      </w:pPr>
      <w:r>
        <w:t xml:space="preserve">C retains PacketHash locally and generates a fresh, single-use symmetric key (BlindShare_key) for this transaction only. It encrypts PacketHash under BlindShare_key, bundles the result with the still-encrypted device token, the key reference the device supplied, and a transaction identifier, and forwards the bundle to the credential validator under the validator’s transit key. The validator decrypts that transit wrapper, decrypts the device token with its own key (V-token_sk), and uses the forwarded key reference to select which key-table entry to check membership against. It cannot decrypt the BlindShare_key-wrapped PacketHash (Enc_PacketHash), since it never holds BlindShare_key. On approval, it signs Enc_PacketHash with a separate signing key held only for this purpose (V-sign_sk, never used to decrypt anything) and returns the decision and signature to C under C’s transit key; on rejection, it returns the decision alone, padded to the same size class as an approval, with no signature at all, since there is nothing to attest to. C, on approval, verifies σ_V over the EncPH it already generated and holds; a failed verification means the signature does not belong to this transaction, and the record is rejected. On rejection, C drops the transaction without attempting to verify anything, since no signature was returned to check. This construction keeps PacketHash unreadable to the validator without requiring any key to be provisioned in advance: BlindShare_key exists only for the duration of one round trip and belongs to no one but C, which generated it. The validator’s signature therefore covers a value it never reads, binding its approval to this specific PacketHash without ever learning what that value is.</w:t>
      </w:r>
    </w:p>
    <w:p>
      <w:pPr>
        <w:pStyle w:val="BodyText"/>
      </w:pPr>
      <w:r>
        <w:t xml:space="preserve">Once approval is confirmed this way, C signs PacketHash as a member of its eligible candidate pool, using the same unlinkable ring signature Section 3.3 describes rather than a single, identifiable key, and fans the result out to the three gatekeepers, who independently re-verify and countersign before posting to their own boards (Section 3.3). Each of the two content-channel submission servers, having received the content channel directly from the device, independently computes its own candidate PacketHash′ = hash(ContentHash, n) and checks it against the two-of-three gatekeeper quorum (Section 3.3); this binds a validator approval to one specific submission and prevents a previously issued approval from being replayed against a different content hash.</w:t>
      </w:r>
    </w:p>
    <w:p>
      <w:pPr>
        <w:pStyle w:val="BodyText"/>
      </w:pPr>
      <w:r>
        <w:t xml:space="preserve">No single party other than C ever holds PacketHash alongside the token it accompanies. The credential validator never observes ContentHash or n, and never recovers PacketHash either, since it never holds BlindShare_key; it sees only Enc_PacketHash, an opaque ciphertext it signs and forwards unread. Neither content-channel submission server ever observes the credential channel at all; each only ever sees its own candidate and, later, the gatekeepers’ posted quorum. The nonce n is discarded once each check succeeds and is never posted to the registry, so a party who later obtains PacketHash from a compromised log cannot use it to test candidate content against the permanent public registry, since recomputing PacketHash requires n. BlindShare_key and the validator-signed Enc_PacketHash are both discarded by C once the fan-out to all three gatekeepers is sent, not before: C's own check (above) gates whether the fan-out happens at all, but both values are still needed to build it, so discard follows sending, not the check itself. Section 3.3 describes the corresponding discard discipline at each gatekeeper. The Addressed-hop server (A, D, or G) that decrypts the routing code accompanying the payload on the first relay hop is under the same obligation: it discards the routing code immediately after re-encrypting the still-opaque payload toward its own randomly chosen next hop, retaining no record of which code accompanied a given forwarded packet. No residual record of the credential-side artifacts that produced a given posting survives at any of these parties, since retaining that pairing even after discarding the key would leave the linkage recoverable by inspection. This is a stated requirement, not an assumption, and Section 6.2 describes how it is audited rather than merely asserted.</w:t>
      </w:r>
    </w:p>
    <w:p>
      <w:pPr>
        <w:pStyle w:val="BodyText"/>
      </w:pPr>
      <w:r>
        <w:t xml:space="preserve">Disjoint delivery (G6, Section 4.2) and encryption of PacketHash address different adversaries and are both necessary; the mechanism achieving disjoint delivery, whether independent network paths, an anonymizing relay layer, or an equivalent construction, is an implementation choice.</w:t>
      </w:r>
    </w:p>
    <w:p>
      <w:pPr>
        <w:pStyle w:val="BodyText"/>
      </w:pPr>
      <w:r>
        <w:rPr>
          <w:bCs/>
          <w:b/>
        </w:rPr>
        <w:t xml:space="preserve">Table 1.</w:t>
      </w:r>
      <w:r>
        <w:t xml:space="preserve"> Two-channel packet structure. Each channel carries only hash-substituted or encrypted data; neither channel individually constitutes a sufficient information set for device-to-content attribution.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Content Channel</w:t>
            </w:r>
          </w:p>
        </w:tc>
        <w:tc>
          <w:tcPr/>
          <w:p>
            <w:pPr>
              <w:pStyle w:val="Compact"/>
              <w:jc w:val="left"/>
            </w:pPr>
            <w:r>
              <w:rPr>
                <w:bCs/>
                <w:b/>
              </w:rPr>
              <w:t xml:space="preserve">Credential Channel</w:t>
            </w:r>
          </w:p>
        </w:tc>
      </w:tr>
      <w:tr>
        <w:tc>
          <w:tcPr/>
          <w:p>
            <w:pPr>
              <w:pStyle w:val="Compact"/>
              <w:jc w:val="left"/>
            </w:pPr>
            <w:r>
              <w:t xml:space="preserve">Carries</w:t>
            </w:r>
          </w:p>
        </w:tc>
        <w:tc>
          <w:tcPr/>
          <w:p>
            <w:pPr>
              <w:pStyle w:val="Compact"/>
              <w:jc w:val="left"/>
            </w:pPr>
            <w:r>
              <w:t xml:space="preserve">ContentHash; n; modification level; h(metadata) [optional]; parent ContentHash [edits only]</w:t>
            </w:r>
          </w:p>
        </w:tc>
        <w:tc>
          <w:tcPr/>
          <w:p>
            <w:pPr>
              <w:pStyle w:val="Compact"/>
              <w:jc w:val="left"/>
            </w:pPr>
            <w:r>
              <w:t xml:space="preserve">ECIES(cred_D || tx_nonce, V-token_pk); key_reference; PacketHash = hash(ContentHash, nonce), in the clear relative to this leg (protected only by C’s own relay-terminus key, C-device_pk)</w:t>
            </w:r>
          </w:p>
        </w:tc>
      </w:tr>
      <w:tr>
        <w:tc>
          <w:tcPr/>
          <w:p>
            <w:pPr>
              <w:pStyle w:val="Compact"/>
              <w:jc w:val="left"/>
            </w:pPr>
            <w:r>
              <w:t xml:space="preserve">Does not carry</w:t>
            </w:r>
          </w:p>
        </w:tc>
        <w:tc>
          <w:tcPr/>
          <w:p>
            <w:pPr>
              <w:pStyle w:val="Compact"/>
              <w:jc w:val="left"/>
            </w:pPr>
            <w:r>
              <w:t xml:space="preserve">media content; device identifier</w:t>
            </w:r>
          </w:p>
        </w:tc>
        <w:tc>
          <w:tcPr/>
          <w:p>
            <w:pPr>
              <w:pStyle w:val="Compact"/>
              <w:jc w:val="left"/>
            </w:pPr>
            <w:r>
              <w:t xml:space="preserve">content hash in the clear; plaintext device_id</w:t>
            </w:r>
          </w:p>
        </w:tc>
      </w:tr>
      <w:tr>
        <w:tc>
          <w:tcPr/>
          <w:p>
            <w:pPr>
              <w:pStyle w:val="Compact"/>
              <w:jc w:val="left"/>
            </w:pPr>
            <w:r>
              <w:t xml:space="preserve">Routed to</w:t>
            </w:r>
          </w:p>
        </w:tc>
        <w:tc>
          <w:tcPr/>
          <w:p>
            <w:pPr>
              <w:pStyle w:val="Compact"/>
              <w:jc w:val="left"/>
            </w:pPr>
            <w:r>
              <w:t xml:space="preserve">Content-channel submission servers (F, I)</w:t>
            </w:r>
          </w:p>
        </w:tc>
        <w:tc>
          <w:tcPr/>
          <w:p>
            <w:pPr>
              <w:pStyle w:val="Compact"/>
              <w:jc w:val="left"/>
            </w:pPr>
            <w:r>
              <w:t xml:space="preserve">Credential processor (private)</w:t>
            </w:r>
          </w:p>
        </w:tc>
      </w:tr>
      <w:tr>
        <w:tc>
          <w:tcPr/>
          <w:p>
            <w:pPr>
              <w:pStyle w:val="Compact"/>
              <w:jc w:val="left"/>
            </w:pPr>
            <w:r>
              <w:t xml:space="preserve">Sufficient for attribution</w:t>
            </w:r>
          </w:p>
        </w:tc>
        <w:tc>
          <w:tcPr/>
          <w:p>
            <w:pPr>
              <w:pStyle w:val="Compact"/>
              <w:jc w:val="left"/>
            </w:pPr>
            <w:r>
              <w:t xml:space="preserve">No</w:t>
            </w:r>
          </w:p>
        </w:tc>
        <w:tc>
          <w:tcPr/>
          <w:p>
            <w:pPr>
              <w:pStyle w:val="Compact"/>
              <w:jc w:val="left"/>
            </w:pPr>
            <w:r>
              <w:t xml:space="preserve">No</w:t>
            </w:r>
          </w:p>
        </w:tc>
      </w:tr>
    </w:tbl>
    <w:p>
      <w:pPr>
        <w:pStyle w:val="BodyText"/>
      </w:pPr>
      <w:r>
        <w:rPr>
          <w:bCs/>
          <w:b/>
        </w:rPr>
        <w:t xml:space="preserve">Table 2.</w:t>
      </w:r>
      <w:r>
        <w:t xml:space="preserve"> Single-channel possession is insufficient for attribution. Each party’s observable information is semantically non-assembled: no party holds a sufficient information set for the target identification function.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Party</w:t>
            </w:r>
          </w:p>
        </w:tc>
        <w:tc>
          <w:tcPr/>
          <w:p>
            <w:pPr>
              <w:pStyle w:val="Compact"/>
              <w:jc w:val="left"/>
            </w:pPr>
            <w:r>
              <w:rPr>
                <w:bCs/>
                <w:b/>
              </w:rPr>
              <w:t xml:space="preserve">Observes</w:t>
            </w:r>
          </w:p>
        </w:tc>
        <w:tc>
          <w:tcPr/>
          <w:p>
            <w:pPr>
              <w:pStyle w:val="Compact"/>
              <w:jc w:val="left"/>
            </w:pPr>
            <w:r>
              <w:rPr>
                <w:bCs/>
                <w:b/>
              </w:rPr>
              <w:t xml:space="preserve">Cannot determine</w:t>
            </w:r>
          </w:p>
        </w:tc>
      </w:tr>
      <w:tr>
        <w:tc>
          <w:tcPr/>
          <w:p>
            <w:pPr>
              <w:pStyle w:val="Compact"/>
              <w:jc w:val="left"/>
            </w:pPr>
            <w:r>
              <w:t xml:space="preserve">Registry observer</w:t>
            </w:r>
          </w:p>
        </w:tc>
        <w:tc>
          <w:tcPr/>
          <w:p>
            <w:pPr>
              <w:pStyle w:val="Compact"/>
              <w:jc w:val="left"/>
            </w:pPr>
            <w:r>
              <w:t xml:space="preserve">Content hashes; timestamps</w:t>
            </w:r>
          </w:p>
        </w:tc>
        <w:tc>
          <w:tcPr/>
          <w:p>
            <w:pPr>
              <w:pStyle w:val="Compact"/>
              <w:jc w:val="left"/>
            </w:pPr>
            <w:r>
              <w:t xml:space="preserve">Which device produced which content</w:t>
            </w:r>
          </w:p>
        </w:tc>
      </w:tr>
      <w:tr>
        <w:tc>
          <w:tcPr/>
          <w:p>
            <w:pPr>
              <w:pStyle w:val="Compact"/>
              <w:jc w:val="left"/>
            </w:pPr>
            <w:r>
              <w:t xml:space="preserve">Credential processor (Section 3.1)</w:t>
            </w:r>
          </w:p>
        </w:tc>
        <w:tc>
          <w:tcPr/>
          <w:p>
            <w:pPr>
              <w:pStyle w:val="Compact"/>
              <w:jc w:val="left"/>
            </w:pPr>
            <w:r>
              <w:t xml:space="preserve">Encrypted device token (opaque, cannot decrypt); PacketHash (in the clear); BlindShare_key (self-generated, discarded after use)</w:t>
            </w:r>
          </w:p>
        </w:tc>
        <w:tc>
          <w:tcPr/>
          <w:p>
            <w:pPr>
              <w:pStyle w:val="Compact"/>
              <w:jc w:val="left"/>
            </w:pPr>
            <w:r>
              <w:t xml:space="preserve">device_id, since it never holds V-token_sk</w:t>
            </w:r>
          </w:p>
        </w:tc>
      </w:tr>
      <w:tr>
        <w:tc>
          <w:tcPr/>
          <w:p>
            <w:pPr>
              <w:pStyle w:val="Compact"/>
              <w:jc w:val="left"/>
            </w:pPr>
            <w:r>
              <w:t xml:space="preserve">Content-channel submission server (F or I, Section 3.1)</w:t>
            </w:r>
          </w:p>
        </w:tc>
        <w:tc>
          <w:tcPr/>
          <w:p>
            <w:pPr>
              <w:pStyle w:val="Compact"/>
              <w:jc w:val="left"/>
            </w:pPr>
            <w:r>
              <w:t xml:space="preserve">Content channel (ContentHash, n), via its own relay-terminus key; its own computed PacketHash candidate; the match board’s posted list</w:t>
            </w:r>
          </w:p>
        </w:tc>
        <w:tc>
          <w:tcPr/>
          <w:p>
            <w:pPr>
              <w:pStyle w:val="Compact"/>
              <w:jc w:val="left"/>
            </w:pPr>
            <w:r>
              <w:t xml:space="preserve">device_id, since it never receives the credential channel at all</w:t>
            </w:r>
          </w:p>
        </w:tc>
      </w:tr>
      <w:tr>
        <w:tc>
          <w:tcPr/>
          <w:p>
            <w:pPr>
              <w:pStyle w:val="Compact"/>
              <w:jc w:val="left"/>
            </w:pPr>
            <w:r>
              <w:t xml:space="preserve">Credential Validator</w:t>
            </w:r>
          </w:p>
        </w:tc>
        <w:tc>
          <w:tcPr/>
          <w:p>
            <w:pPr>
              <w:pStyle w:val="Compact"/>
              <w:jc w:val="left"/>
            </w:pPr>
            <w:r>
              <w:t xml:space="preserve">ECIES(cred_D || tx_nonce, V-token_pk) (decryptable); Enc_PacketHash, opaque and undecryptable without BlindShare_key</w:t>
            </w:r>
          </w:p>
        </w:tc>
        <w:tc>
          <w:tcPr/>
          <w:p>
            <w:pPr>
              <w:pStyle w:val="Compact"/>
              <w:jc w:val="left"/>
            </w:pPr>
            <w:r>
              <w:t xml:space="preserve">Which content was authenticated (PacketHash itself)</w:t>
            </w:r>
          </w:p>
        </w:tc>
      </w:tr>
      <w:tr>
        <w:tc>
          <w:tcPr/>
          <w:p>
            <w:pPr>
              <w:pStyle w:val="Compact"/>
              <w:jc w:val="left"/>
            </w:pPr>
            <w:r>
              <w:t xml:space="preserve">Gatekeeper (Section 3.3)</w:t>
            </w:r>
          </w:p>
        </w:tc>
        <w:tc>
          <w:tcPr/>
          <w:p>
            <w:pPr>
              <w:pStyle w:val="Compact"/>
              <w:jc w:val="left"/>
            </w:pPr>
            <w:r>
              <w:t xml:space="preserve">The validator’s signature and which manufacturer’s public key verified it, checked against the revocation registry (Appendix C); PacketHash in the clear; BlindShare_key, forwarded by C; C’s ring signature, verified as belonging to some pool member</w:t>
            </w:r>
          </w:p>
        </w:tc>
        <w:tc>
          <w:tcPr/>
          <w:p>
            <w:pPr>
              <w:pStyle w:val="Compact"/>
              <w:jc w:val="left"/>
            </w:pPr>
            <w:r>
              <w:t xml:space="preserve">device_id, since it never receives the encrypted token at all; which specific device within that manufacturer’s registered pool, since the key identifies the manufacturer, not the device; which pool member C actually was, since the ring signature hides this from every verifier</w:t>
            </w:r>
          </w:p>
        </w:tc>
      </w:tr>
      <w:tr>
        <w:tc>
          <w:tcPr/>
          <w:p>
            <w:pPr>
              <w:pStyle w:val="Compact"/>
              <w:jc w:val="left"/>
            </w:pPr>
            <w:r>
              <w:t xml:space="preserve">Match board (Section 3.3)</w:t>
            </w:r>
          </w:p>
        </w:tc>
        <w:tc>
          <w:tcPr/>
          <w:p>
            <w:pPr>
              <w:pStyle w:val="Compact"/>
              <w:jc w:val="left"/>
            </w:pPr>
            <w:r>
              <w:t xml:space="preserve">Its own paired gatekeeper’s countersignature chained over C’s signature; PacketHash, posted alongside both in the clear rather than recovered from them</w:t>
            </w:r>
          </w:p>
        </w:tc>
        <w:tc>
          <w:tcPr/>
          <w:p>
            <w:pPr>
              <w:pStyle w:val="Compact"/>
              <w:jc w:val="left"/>
            </w:pPr>
            <w:r>
              <w:t xml:space="preserve">device_id, since it holds nothing its own gatekeeper did not already hold; which pool member C actually was, for the same reason</w:t>
            </w:r>
          </w:p>
        </w:tc>
      </w:tr>
      <w:tr>
        <w:tc>
          <w:tcPr/>
          <w:p>
            <w:pPr>
              <w:pStyle w:val="Compact"/>
              <w:jc w:val="left"/>
            </w:pPr>
            <w:r>
              <w:t xml:space="preserve">Adversary compromising the credential processor only</w:t>
            </w:r>
          </w:p>
        </w:tc>
        <w:tc>
          <w:tcPr/>
          <w:p>
            <w:pPr>
              <w:pStyle w:val="Compact"/>
              <w:jc w:val="left"/>
            </w:pPr>
            <w:r>
              <w:t xml:space="preserve">Encrypted device token (still opaque, no V-token_sk); PacketHash in the clear</w:t>
            </w:r>
          </w:p>
        </w:tc>
        <w:tc>
          <w:tcPr/>
          <w:p>
            <w:pPr>
              <w:pStyle w:val="Compact"/>
              <w:jc w:val="left"/>
            </w:pPr>
            <w:r>
              <w:t xml:space="preserve">device_id, since the token stays encrypted regardless of this compromise; full compromise analysis in Table 3</w:t>
            </w:r>
          </w:p>
        </w:tc>
      </w:tr>
    </w:tbl>
    <w:p>
      <w:pPr>
        <w:pStyle w:val="BodyText"/>
      </w:pPr>
      <w:r>
        <w:rPr>
          <w:bCs/>
          <w:b/>
        </w:rPr>
        <w:t xml:space="preserve">3.3 Registry Storage</w:t>
      </w:r>
    </w:p>
    <w:p>
      <w:pPr>
        <w:pStyle w:val="BodyText"/>
      </w:pPr>
      <w:r>
        <w:t xml:space="preserve">The system never receives, stores, or processes media content at any stage. Once its own check succeeds (Section 3.2), the credential processor (C) signs the approved PacketHash as a member of its eligible candidate pool, using an unlinkable ring signature rather than a single, identifiable key, then fans the validation packet out to three independently-keyed gatekeepers, encrypted separately under each one’s own relay-terminus key: PacketHash in the clear, the validator’s signature, a manufacturer-key identifier naming which validator produced it, BlindShare_key itself, and C’s signature over PacketHash. Encrypting separately for each recipient means a compromised transit key exposes what was sent to one gatekeeper, not all three. Each gatekeeper independently verifies two things before it will act: the validator’s signature, verified against the public key the manufacturer-key identifier names, over “APPROVED” concatenated with EncPH, which the gatekeeper recomputes from BlindShare_key and the plaintext PacketHash it received alongside them rather than receiving as a separate field, so a mismatched BlindShare_key or PacketHash would produce a different EncPH than the one actually signed and the verification would fail on its own, with no separate decrypt-and-compare step needed; and C’s signature over that same PacketHash, verified as belonging to some member of C’s eligible candidate pool rather than against a single, identifiable key. This uses an unlinkable ring signature, so that neither a gatekeeper nor any later reader of a posted board record learns which pool member C actually was; Appendix D.3 reports the finding that made this necessary. Neither check substitutes for the other: the validator’s signature confirms a registered device was actually approved, and C’s signature confirms C itself witnessed that approval before signing, which matters because what a gatekeeper ultimately posts, and what the boards and the content-channel servers later check, is built on C’s signature, not the validator’s own. Verifying both independently, on each gatekeeper’s own hardware, removes any single party’s ability to misreport what happened upstream of it.</w:t>
      </w:r>
    </w:p>
    <w:p>
      <w:pPr>
        <w:pStyle w:val="BodyText"/>
      </w:pPr>
      <w:r>
        <w:t xml:space="preserve">Once both checks pass, a gatekeeper signs C’s signature with its own submission-server signing key and, after the same randomized timing hold G6 requires of channel traffic rather than posting immediately, posts the result, its own signature chained over C’s, to its own paired match board (an immediate post would let a compromised content-channel server infer C’s fan-out timing from the gatekeeper’s own posting time, a residual leak Appendix D.4–D.5 reports and closes), discarding BlindShare_key and the validator’s signature immediately, the same discard discipline Section 3.2 already requires of PacketHash itself. The three match boards operate independently: each is paired with exactly one gatekeeper, and neither the gatekeepers nor the boards coordinate with each other during posting. A content-channel submission server checks a candidate PacketHash against all three boards, confirming each posting carries a valid signature from that board’s own gatekeeper chained over a valid signature from C over the same value; PacketHash itself travels in the clear alongside both signatures rather than being recovered from them, since neither Ed25519 nor a ring signature supports message recovery. The server proceeds only once the same value, backed by both valid signatures, appears on at least two of the three, rather than trusting any single board’s report.</w:t>
      </w:r>
    </w:p>
    <w:p>
      <w:pPr>
        <w:pStyle w:val="BodyText"/>
      </w:pPr>
      <w:r>
        <w:t xml:space="preserve">This two-of-three requirement, combined with C’s signature, is what makes even two-gatekeeper collusion insufficient to force an unauthorized posting: two colluding gatekeepers can post anything at all to their own two boards, satisfying the quorum’s arithmetic trivially, but neither holds C’s signing key, so neither can produce a valid C-signature over a PacketHash C never actually approved. Replaying a genuine, already-approved C-signature onto a fabricated PacketHash fails the same way forging one would, since a signature is over specific content and cannot be transplanted onto different content. This is confirmed formally, not merely argued: Appendix A.4 verifies that no PacketHash reaches a two-board quorum without a preceding genuine validator approval, both when one gatekeeper’s complete key set is compromised and when two of the three are.</w:t>
      </w:r>
    </w:p>
    <w:p>
      <w:pPr>
        <w:pStyle w:val="BodyText"/>
      </w:pPr>
      <w:r>
        <w:t xml:space="preserve">Each content-channel submission server, having independently computed its own candidate PacketHash′ = hash(ContentHash, n) from the content channel it received directly from the device, checks this two-of-three quorum, and if satisfied, signs and submits its own entry, carrying ContentHash together with the modification level and any optional fields the device supplied, all covered by its signature, to the verification registry using a registry-signing key held only for this purpose, separate from the relay-terminus key that decrypted its own content channel: no key at either server does both jobs. The registry finalizes a content hash to the public blockchain record only once it has received two entries agreeing on the same ContentHash and accompanying fields and bearing signatures from two distinct, known server identities; a single server signing and submitting under only its own key cannot satisfy this on its own, since it cannot produce the other server’s signature. Together these checks make single-server forgery infeasible at every stage; compromising the validator, C, and a content-channel server together is the coordinated compromise already treated as outside the adversary model in Section 4.1. Appendix A.4 also verifies that the validator’s signing key never becomes derivable, and that one content-channel server’s key never yields the other’s. The registry’s write rule additionally collapses duplicate submissions: if a record with the same content hash already exists, a new submission attempting to post that hash is recognized against the existing record rather than creating a second entry with a later timestamp. This closes a distinct concern from forgery: forgery asks whether an unsigned PacketHash can be posted at all; duplicate-collapse asks whether a signed one can be posted twice to make existing content appear newly authenticated.</w:t>
      </w:r>
    </w:p>
    <w:p>
      <w:pPr>
        <w:pStyle w:val="BodyText"/>
      </w:pPr>
      <w:r>
        <w:t xml:space="preserve">Once finalized, the registry record contains: the content hash, a modification level indicating whether the submission is an original capture or a recorded edit, the parent record’s content hash when the submission is an edit, an optional hash of the submitted metadata, the two servers’ signatures and indices identifying which two registered servers produced them, and a posting timestamp rounded to a privacy-preserving interval. The registry record contains no device identifier, no manufacturer identifier, and no information that allows an observer to determine which device produced which content; naming which two servers signed is not a privacy exposure of that kind, since server identity is already public and neither server ever holds a device identifier to begin with.</w:t>
      </w:r>
    </w:p>
    <w:p>
      <w:pPr>
        <w:pStyle w:val="BodyText"/>
      </w:pPr>
      <w:r>
        <w:t xml:space="preserve">The Birthmark Registry, a consortium blockchain, is used rather than a simpler append-only transparency log (such as Certificate Transparency) because append-only ledgers alone do not protect against compelled censorship. A single-operator transparency log can be compelled to remove or suppress specific entries by any locally enforceable legal order. The Birthmark Registry distributes validation across multiple independent organizations: removing a record requires compelling a threshold of Registry Nodes simultaneously, across organizational and jurisdictional boundaries. The strength of this property depends on the anti-concentration controls described in Section 6.2; a Registry Node set with shared ownership or common legal jurisdiction would degrade it. For journalism and public-interest media contexts, where compelled removal of authentication records is a credible operational threat, this censorship resistance property is a design requirement.</w:t>
      </w:r>
    </w:p>
    <w:p>
      <w:pPr>
        <w:pStyle w:val="BodyText"/>
      </w:pPr>
      <w:r>
        <w:rPr>
          <w:bCs/>
          <w:b/>
        </w:rPr>
        <w:t xml:space="preserve">3.4 Verification</w:t>
      </w:r>
    </w:p>
    <w:p>
      <w:pPr>
        <w:pStyle w:val="BodyText"/>
      </w:pPr>
      <w:r>
        <w:t xml:space="preserve">Public verification requires only the media content. A verifier computes the content hash locally and queries the registry directly. The registry returns a record if one exists. No subscription, credential, or trusted intermediary is required. The verifier learns whether the content was authenticated by a registered device; they learn nothing about which device.</w:t>
      </w:r>
    </w:p>
    <w:p>
      <w:pPr>
        <w:pStyle w:val="BodyText"/>
      </w:pPr>
      <w:r>
        <w:t xml:space="preserve">The registry is non-self-describing and semantically inert to observers who do not already possess candidate media. It intentionally does not support attribution search, reverse lookup, or photographer enumeration. Querying the registry yields content hashes with no attributable metadata.</w:t>
      </w:r>
    </w:p>
    <w:p>
      <w:pPr>
        <w:pStyle w:val="BodyText"/>
      </w:pPr>
      <w:r>
        <w:rPr>
          <w:bCs/>
          <w:b/>
        </w:rPr>
        <w:t xml:space="preserve">4 THREAT MODEL AND FORMAL PRIVACY PROPERTIES</w:t>
      </w:r>
    </w:p>
    <w:p>
      <w:pPr>
        <w:pStyle w:val="BodyText"/>
      </w:pPr>
      <w:r>
        <w:t xml:space="preserve">Semantic Non-Assembly is enforced through intentional context blindness: each component is structurally limited to observing only the attribution-surface fragment required for its function, making the sufficient information set unassemblable below the compromise threshold. Privacy holds through structural non-assembly, not through operator trust. Channel separation structurally prevents any single component from holding both a device identifier and a content hash; where protocol-level separation is insufficient (principally, the prohibition on maintaining device-to-token mapping records outside the system), compliance is enforced through publicly auditable consortium governance rather than through the protocol itself. The formal properties are stated in Sections 4.3 to 4.6 and verified in Appendix A.</w:t>
      </w:r>
    </w:p>
    <w:p>
      <w:pPr>
        <w:pStyle w:val="BodyText"/>
      </w:pPr>
      <w:r>
        <w:rPr>
          <w:bCs/>
          <w:b/>
        </w:rPr>
        <w:t xml:space="preserve">4.1 Adversary Model</w:t>
      </w:r>
    </w:p>
    <w:p>
      <w:pPr>
        <w:pStyle w:val="BodyText"/>
      </w:pPr>
      <w:r>
        <w:rPr>
          <w:bCs/>
          <w:b/>
        </w:rPr>
        <w:t xml:space="preserve">Network Adversary (A_NET).</w:t>
      </w:r>
      <w:r>
        <w:t xml:space="preserve"> Controls network infrastructure between system components, with the ability to intercept, modify, replay, and inject messages on public channels. Submission servers may be compromised: a compromised server can inspect the content channel and the validator’s relayed decision but cannot decrypt encrypted credential tokens (only the credential validator holds decryption keys) and cannot forge validator signatures. Up to 33% of Registry Nodes may be compromised; honest Registry Nodes retain the majority required for record finalization above this threshold. Simultaneous compromise of multiple independent components requires coordinated compromise across organizational boundaries and is outside the assumed adversary model.</w:t>
      </w:r>
    </w:p>
    <w:p>
      <w:pPr>
        <w:pStyle w:val="BodyText"/>
      </w:pPr>
      <w:r>
        <w:t xml:space="preserve">Liveness under sub-threshold non-participation is handled by the consortium governance layer through Registry Node removal, not by the consensus protocol alone. Governance removal is a prospective cleanup action, not a recovery mechanism. During the interval between a Registry Node becoming non-participating and governance removal completing, submissions continue to finalize as long as the remaining honest Registry Nodes exceed the 2/3 threshold; the non-participating Registry Node’s absence reduces the safety margin but does not interrupt service. Submissions requiring dual-approval from a non-participating server are queued or rerouted to an alternate submission server per deployment policy.</w:t>
      </w:r>
    </w:p>
    <w:p>
      <w:pPr>
        <w:pStyle w:val="BodyText"/>
      </w:pPr>
      <w:r>
        <w:rPr>
          <w:bCs/>
          <w:b/>
        </w:rPr>
        <w:t xml:space="preserve">Hardware Adversary (A_HW).</w:t>
      </w:r>
      <w:r>
        <w:t xml:space="preserve"> Has physical access to capture devices, with the ability to attempt credential extraction from hardware secure elements via invasive physical techniques. Such techniques are costly, time-intensive, and affect only individual devices, making bulk compromise economically infeasible under current secure element certification standards (EAL5+). Forging device credentials is also within scope. Replicating manufacturing-calibrated hardware fingerprints requires physical access to manufacturing equipment; no practical attack is publicly known under current manufacturing assumptions, though this is an empirical observation rather than a formal bound. Successful extraction affects only the compromised device and any key table entries it shares with other devices.</w:t>
      </w:r>
    </w:p>
    <w:p>
      <w:pPr>
        <w:pStyle w:val="BodyText"/>
      </w:pPr>
      <w:r>
        <w:rPr>
          <w:bCs/>
          <w:b/>
        </w:rPr>
        <w:t xml:space="preserve">Privacy Adversary (A_PRIV).</w:t>
      </w:r>
      <w:r>
        <w:t xml:space="preserve"> Seeks to correlate specific capture devices to specific verified content records. Capabilities include: observation of all public registry records; monitoring of network traffic including timing and packet sizes; access to any single system component (credential validator, submission server, or Registry Node) but not multiple components simultaneously. Cannot break AES-256 encryption or SHA-256 collision resistance. Legal compulsion or coercion of individual operators is an out-of-scope threat. Single-operator compulsion is addressed through mandatory governance removal rather than protocol-level resistance; simultaneous multi-jurisdictional compulsion requires the same coordinated multi-component access as other out-of-scope attacks. The architecture requires that credential validators and submission servers operate under continuously audited structural constraints whose satisfaction the governance layer, not the protocol, enforces as a deployment requirement. The constraints are publicly auditable through the consortium governance layer: Registry Node operators are publicly registered, enabling inspection of the Registry Node set for shared ownership, board membership, or common legal jurisdiction. Constraint satisfaction is thereby an auditable deployment property rather than an invisible assumption.</w:t>
      </w:r>
    </w:p>
    <w:p>
      <w:pPr>
        <w:pStyle w:val="BodyText"/>
      </w:pPr>
      <w:r>
        <w:rPr>
          <w:bCs/>
          <w:b/>
        </w:rPr>
        <w:t xml:space="preserve">A_PRIV’s network-monitoring capability is a Global Passive Adversary (GPA) in the sense established in the anonymity-network literature: an adversary who observes all traffic between all parties, not merely some links.</w:t>
      </w:r>
      <w:r>
        <w:t xml:space="preserve"> This is a stronger observational capability than most deployed anonymity systems defend against; Tor’s own threat model explicitly excludes the GPA, stating that it is designed to resist an adversary who observes some fraction of network traffic and operates some fraction of relays, not one with global visibility, and that traffic-confirmation attacks requiring full observation of both communicating endpoints fall outside what the system claims to prevent [16]. Granting A_PRIV this capability in full is a deliberately conservative choice for this architecture, consistent with the standard practice of stating an anonymity system’s adversary model explicitly. It should not be read as claiming that raw observational capability is, by itself, equivalent to mounting a successful correlation attack: as Section 4.6 details, an adversary who is global in this sense still needs a candidate content item to check against, needs to know which of potentially several manufacturer validators to target, and, since PacketHash is discarded immediately after use, needs to have already been recording validator-adjacent traffic before the submission of interest occurred, not merely to possess global visibility at the time an image later becomes of interest. The formal properties in Appendix A operate on a symbolic model that does not represent packet timing or size at all; the scope and limits of what the proofs cover with respect to this capability are stated in Appendix A.5. A_PRIV’s two capabilities, network monitoring and single-component access, are granted together, not separately; Appendix D evaluates the first without the second in its earlier sections and both together in its later ones, which neither the formal proofs nor the first evaluation alone address.</w:t>
      </w:r>
    </w:p>
    <w:p>
      <w:pPr>
        <w:pStyle w:val="BodyText"/>
      </w:pPr>
      <w:r>
        <w:rPr>
          <w:bCs/>
          <w:b/>
        </w:rPr>
        <w:t xml:space="preserve">A_PRIV’s multi-component bound is fixed-capacity, not proportional.</w:t>
      </w:r>
      <w:r>
        <w:t xml:space="preserve"> A_NET’s 33% figure is a property of the consensus protocol itself: below that fraction, any two honest Registry Node quorums are guaranteed to overlap, so the bound necessarily scales with the size of the Registry Node set. Device Non-Correlation is a different kind of claim, and “multi-component” means something narrower here than it might elsewhere in this section: not a validator, a gatekeeper, and a Registry Node compromised together, which remains the coordinated cross-role compromise already excluded above, but several operators holding the same role compromised at once, through a single shared vulnerability or a single jurisdiction’s legal reach. That capacity is a property of the adversary’s operational reach, not of the protocol, and does not grow merely because the consortium recruits additional members.</w:t>
      </w:r>
    </w:p>
    <w:p>
      <w:pPr>
        <w:pStyle w:val="BodyText"/>
      </w:pPr>
      <w:r>
        <w:t xml:space="preserve">That capacity is governed by whichever of two independent partitions of the operator pool is weaker. Jurisdictional partitioning bounds simultaneous legal compulsion: no government can compel operators outside its own jurisdiction, so the number of operators reachable through a single coordinated legal action is bounded by pool size divided by the number of represented jurisdictions. Infrastructural partitioning bounds simultaneous technical compromise: each operator runs a single, internally consistent hardware and software stack (cloud or hosting provider, perimeter security product, base operating system), and no two operators share a stack profile beyond what a small, fixed number of profiles requires. A single vulnerability of the kind that has repeatedly compromised many otherwise-independent organizations through one shared perimeter product reaches only the operators on that profile, not the full pool. Stack assignments are disclosed to the consortium’s governance and audit body, on the same basis as the jurisdiction and ownership registrations already required for Registry Node operators, but are not published and are not visible operator-to-operator, so the partitioning is auditable without becoming a map an adversary or a compromised peer could use to target specific profiles. The exact number of operators either partition permits reaching at once is a deployment choice, governed by how many jurisdictions and stack profiles the governance layer actually maintains (Section 5; full governance specification in [4]), not a fixed property claimed by this architecture; a deployment that concentrates registration into fewer jurisdictions or profiles than intended widens this reach accordingly, which is exactly what the audit mechanism described above exists to catch.</w:t>
      </w:r>
    </w:p>
    <w:p>
      <w:pPr>
        <w:pStyle w:val="BodyText"/>
      </w:pPr>
      <w:r>
        <w:t xml:space="preserve">The consequence of reaching several same-role operators this way differs sharply by role. Simultaneously compromised Registry Nodes learn only what Table 2’s registry-observer row already discloses, content hashes and coarsened timestamps, which the architecture treats as public by design; reaching several of them at once does not, by itself, advance an adversary toward device-content correlation. The more consequential target is the submission-server side: reaching enough gatekeepers, content-channel servers, or the credential processor to defeat the thresholds Properties D through I already establish, two of three gatekeepers, both content-channel servers, the credential processor together with the validator, or the validator together with any one gatekeeper, requires this same jurisdictional or infrastructural spread, undetected, across every operator involved simultaneously. The partitioning above bounds the reach identically for both roles; the roles’ consequences do not.</w:t>
      </w:r>
    </w:p>
    <w:p>
      <w:pPr>
        <w:pStyle w:val="BodyText"/>
      </w:pPr>
      <w:r>
        <w:rPr>
          <w:bCs/>
          <w:b/>
        </w:rPr>
        <w:t xml:space="preserve">Out of scope.</w:t>
      </w:r>
      <w:r>
        <w:t xml:space="preserve"> The conditions under which correlation becomes possible are documented in Section 4.6; full observation of both delivery paths alone, without compromising a component, is not one of them, given Enc_PacketHash (Section 3.2).</w:t>
      </w:r>
    </w:p>
    <w:p>
      <w:pPr>
        <w:pStyle w:val="BodyText"/>
      </w:pPr>
      <w:r>
        <w:rPr>
          <w:bCs/>
          <w:b/>
        </w:rPr>
        <w:t xml:space="preserve">4.2 Design Goals</w:t>
      </w:r>
    </w:p>
    <w:p>
      <w:pPr>
        <w:pStyle w:val="BodyText"/>
      </w:pPr>
      <w:r>
        <w:rPr>
          <w:bCs/>
          <w:b/>
        </w:rPr>
        <w:t xml:space="preserve">G1: Device-Rooted Authenticity.</w:t>
      </w:r>
      <w:r>
        <w:t xml:space="preserve"> The system must cryptographically prove that content originated from a registered capture device. Adversaries cannot generate valid verification records without possessing a legitimate registered device or successfully breaking hardware security mechanisms. This covers the device side of authenticity; it does not by itself stop an infrastructure operator from posting a record no device or validator ever produced. That is a separate failure mode, closed by the dual-approval mechanism in Section 3.3, not by anything about the device’s credential, and confirmed formally in Appendix A.4.</w:t>
      </w:r>
    </w:p>
    <w:p>
      <w:pPr>
        <w:pStyle w:val="BodyText"/>
      </w:pPr>
      <w:r>
        <w:rPr>
          <w:bCs/>
          <w:b/>
        </w:rPr>
        <w:t xml:space="preserve">G2: Privacy Preservation.</w:t>
      </w:r>
      <w:r>
        <w:t xml:space="preserve"> No single party can correlate a specific capture device to specific verified content. Privacy is computational: it holds against a global passive network observer who has compromised no component, against C individually, against a content-channel submission server individually, against a gatekeeper individually, and against the credential validator individually, confirmed in Appendix A.3. Only coordinated compromise across components, treated as outside the adversary model in Section 4.1, could restore correlation. The precise scope of this guarantee is stated in Section 4.6.</w:t>
      </w:r>
    </w:p>
    <w:p>
      <w:pPr>
        <w:pStyle w:val="BodyText"/>
      </w:pPr>
      <w:r>
        <w:rPr>
          <w:bCs/>
          <w:b/>
        </w:rPr>
        <w:t xml:space="preserve">G3: Metadata Independence.</w:t>
      </w:r>
      <w:r>
        <w:t xml:space="preserve"> Verification records must survive format conversion, compression, and platform reprocessing performed by certified processing software. Verification requires only the media content itself, once that software has produced the derived record. This holds even for a submission derived from an edit: any reference to a parent record, sampled comparison data, or processing parameters needed to authenticate the edit is generated and consumed at submission time by the certified processing software, which already holds both the original and the derived content because it is the software performing the edit. None of that is something a later verifier must separately supply; verification of the resulting record is identical to verification of any other record in the registry. Reprocessing performed outside certified software, such as a platform’s own automatic recompression on upload, does not preserve this chain; Section 6.3 (Adoption dependency) extends the same coverage limitation already stated for non-participating manufacturers to non-participating processing software.</w:t>
      </w:r>
    </w:p>
    <w:p>
      <w:pPr>
        <w:pStyle w:val="BodyText"/>
      </w:pPr>
      <w:r>
        <w:t xml:space="preserve">Certified processing software authenticates an edit by predictive matching rather than by re-establishing the original device’s hardware root, which makes this authentication software-attested rather than hardware-rooted, weakening G1’s device-credential guarantee correspondingly for edited records. It records the editing operations applied, predicts their expected effect on the saved output, and measures the deviation between that prediction and what was actually saved, similar in spirit to a perceptual hash tolerating expected variation while flagging a change outside it. That deviation sets the recorded modification level rather than gating submission itself: a larger deviation is recorded as modified, chained to its parent by ContentHash, not rejected, so a verifier holding both images can confirm the relationship directly without either record carrying a device identifier.</w:t>
      </w:r>
    </w:p>
    <w:p>
      <w:pPr>
        <w:pStyle w:val="BodyText"/>
      </w:pPr>
      <w:r>
        <w:rPr>
          <w:bCs/>
          <w:b/>
        </w:rPr>
        <w:t xml:space="preserve">G4: Public Verifiability.</w:t>
      </w:r>
      <w:r>
        <w:t xml:space="preserve"> Any party must be able to verify content authenticity without credentials or intermediary, without revealing the verifier’s identity.</w:t>
      </w:r>
    </w:p>
    <w:p>
      <w:pPr>
        <w:pStyle w:val="BodyText"/>
      </w:pPr>
      <w:r>
        <w:rPr>
          <w:bCs/>
          <w:b/>
        </w:rPr>
        <w:t xml:space="preserve">G5: Minimal Storage.</w:t>
      </w:r>
      <w:r>
        <w:t xml:space="preserve"> Registry records are compact (173 bytes on-chain for a capture, at most 237 with both optional fields), enabling low-cost validator operation. Compactness also serves a privacy function: minimal on-chain footprint reduces the fingerprinting surface available to observers correlating submission timing, record size, or metadata patterns.</w:t>
      </w:r>
    </w:p>
    <w:p>
      <w:pPr>
        <w:pStyle w:val="BodyText"/>
      </w:pPr>
      <w:r>
        <w:rPr>
          <w:bCs/>
          <w:b/>
        </w:rPr>
        <w:t xml:space="preserve">G6: Transit Unlinkability.</w:t>
      </w:r>
      <w:r>
        <w:t xml:space="preserve"> The content channel and credential channel must be delivered to their respective destinations such that no single first-hop recipient, and no intermediary shared by both delivery paths, ever receives both channels for the same submission, and such that neither destination, in the ordinary course of receiving its own channel, learns the device’s real network-layer identity (its source IP address). This is a requirement on the delivery mechanism, not on the channels’ content: the content-hash substitution and encryption described in Section 3.2 prevent a party who holds one channel from reading the other, but do nothing to prevent a party positioned to observe both channels in transit from linking them, and do nothing to prevent either destination from directly observing the device’s network address regardless of what data is exchanged over that connection, since a direct connection reveals the source address independent of anything encrypted or hashed within it. G6 is satisfied by any delivery mechanism, independent network paths, an anonymizing relay layer, or an equivalent construction, that keeps the two channels’ first-hop recipients, and any intermediary common to both paths, disjoint, and in which each channel’s relay terminates the device’s connection and originates a fresh one to the actual destination, so that neither a content-channel submission server nor C ever observes the device’s originating address. A single relay handling both channels for the same device would reintroduce exactly the co-location this goal exists to prevent; the two channels require independent relays.</w:t>
      </w:r>
    </w:p>
    <w:p>
      <w:pPr>
        <w:pStyle w:val="BodyText"/>
      </w:pPr>
      <w:r>
        <w:t xml:space="preserve">A compliant delivery mechanism additionally randomizes transmission timing, pads channel traffic to a size drawn randomly within a common traffic-size class rather than a single constant byte count, since exact size constancy across every transmission would itself be a distinguishing signal, and intermixes channel transmissions with unrelated traffic, so that a channel is not identifiable from packet size or timing alone and the two channels are not the only or most obvious traffic an observer sees from a given device. These measures do not claim information-theoretic resistance to traffic analysis; they are intended to prevent straightforward channel classification and deterministic flow pairing, not to foreclose a sufficiently capable adversary’s statistical correlation of timing, volume, or other side-channel information across many observed transactions. Appendix D reports an empirical evaluation of exactly this question against a simulated implementation of these measures. The gatekeeper fan-out (Section 3.3) uses its own, larger size class rather than the common one above, since the ring signature over C’s candidate pool makes that leg’s contents larger regardless of padding. Its destination, one of the three currently active gatekeepers, a known, rotating set, already identifies it structurally, so a distinct size class adds no signal beyond what destination already reveals; Appendix D.4 reports the measurement behind this reasoning.</w:t>
      </w:r>
    </w:p>
    <w:p>
      <w:pPr>
        <w:pStyle w:val="BodyText"/>
      </w:pPr>
      <w:r>
        <w:t xml:space="preserve">G6 also constrains any forwarding metadata a relay hop needs in order to perform its own routing decision, not only the channel payload itself: such metadata must be encrypted such that only the hop that needs to act on it can read it, never transmitted in the clear alongside an otherwise-opaque payload. A plaintext routing marker would identify a channel as directly as an unpadded packet size would, the same failure class the padding and timing measures above exist to prevent; encrypting the payload while leaving forwarding metadata legible defeats the purpose of encrypting the payload at all.</w:t>
      </w:r>
    </w:p>
    <w:p>
      <w:pPr>
        <w:pStyle w:val="BodyText"/>
      </w:pPr>
      <w:r>
        <w:rPr>
          <w:bCs/>
          <w:b/>
        </w:rPr>
        <w:t xml:space="preserve">4.3 Device Non-Correlation</w:t>
      </w:r>
    </w:p>
    <w:p>
      <w:pPr>
        <w:pStyle w:val="BodyText"/>
      </w:pPr>
      <w:r>
        <w:rPr>
          <w:bCs/>
          <w:b/>
        </w:rPr>
        <w:t xml:space="preserve">Property:</w:t>
      </w:r>
      <w:r>
        <w:t xml:space="preserve"> The credential validator learns the device identity when confirming a credential, but receives no content-hash information for that submission. Formally: given device D_i authenticating content items C_1, C_2, …, C_n, the validator observes authentication events but receives no information sufficient to correlate device identifiers with content hashes within the defined adversary model. Content hashes are never transmitted to the validator. The formal basis is established by the observational equivalence proof in Appendix A.2.</w:t>
      </w:r>
    </w:p>
    <w:p>
      <w:pPr>
        <w:pStyle w:val="BodyText"/>
      </w:pPr>
      <w:r>
        <w:rPr>
          <w:bCs/>
          <w:b/>
        </w:rPr>
        <w:t xml:space="preserve">4.4 Registry Observer Non-Identification</w:t>
      </w:r>
    </w:p>
    <w:p>
      <w:pPr>
        <w:pStyle w:val="BodyText"/>
      </w:pPr>
      <w:r>
        <w:rPr>
          <w:bCs/>
          <w:b/>
        </w:rPr>
        <w:t xml:space="preserve">Property:</w:t>
      </w:r>
      <w:r>
        <w:t xml:space="preserve"> Registry observers see content hashes and coarsened posting timestamps but cannot identify devices, credential validators, or content creators. Given a registry record containing only ContentHash, modification level, the optional parent and metadata hashes, the two server signatures and indices, and a coarsened timestamp, observer O cannot determine which device produced it with probability greater than random guessing over the registered device population. The formal basis is established by the observational equivalence proof in BM_Baseline_Noncorrelation.pv (Appendix A.2).</w:t>
      </w:r>
    </w:p>
    <w:p>
      <w:pPr>
        <w:pStyle w:val="BodyText"/>
      </w:pPr>
      <w:r>
        <w:rPr>
          <w:bCs/>
          <w:b/>
        </w:rPr>
        <w:t xml:space="preserve">4.5 Submission Server Blindness</w:t>
      </w:r>
    </w:p>
    <w:p>
      <w:pPr>
        <w:pStyle w:val="BodyText"/>
      </w:pPr>
      <w:r>
        <w:rPr>
          <w:bCs/>
          <w:b/>
        </w:rPr>
        <w:t xml:space="preserve">Property:</w:t>
      </w:r>
      <w:r>
        <w:t xml:space="preserve"> Content-channel submission servers receive the content channel directly from the device but never the credential channel, and cannot identify specific devices. The credential token T = ECIES(cred_D || tx_nonce, V-token_pk), where cred_D is the device’s hardware-rooted credential, tx_nonce is a single-use replay nonce the validator logs to detect reuse, and V-token_sk is held exclusively by the validator, travels only to C and from there to the validator. A content-channel submission server never possesses T and so has no ciphertext against which to run any attack; it receives only the content channel and, later, the boards’ posted PacketHash values. Submission Server Blindness therefore follows directly from the delivery structure rather than requiring a reduction to IND-CCA2 security; BM_Baseline_Noncorrelation.pv verifies this under the model’s channel structure (Appendix A.2).</w:t>
      </w:r>
    </w:p>
    <w:p>
      <w:pPr>
        <w:pStyle w:val="BodyText"/>
      </w:pPr>
      <w:r>
        <w:rPr>
          <w:bCs/>
          <w:b/>
        </w:rPr>
        <w:t xml:space="preserve">4.6 Composite Guarantee</w:t>
      </w:r>
    </w:p>
    <w:p>
      <w:pPr>
        <w:pStyle w:val="BodyText"/>
      </w:pPr>
      <w:r>
        <w:t xml:space="preserve">The properties together mean that no single component’s compromise is sufficient for correlation: the credential validator never observes ContentHash or n and, even if compromised, cannot recover PacketHash, confirmed in Appendix A.3, since PacketHash reaches it only wrapped under BlindShare_key, a value C generates fresh per transaction and never shares; C holds PacketHash in the clear but never the device token in a readable form, confirmed in Appendix A.3, since it never holds V-token_sk; a content-channel submission server holds ContentHash and n but never the credential channel at all, confirmed in Appendix A.3; a gatekeeper holds PacketHash and both signatures but never the token, confirmed in Appendix A.3. The base architecture achieves semantic non-assembly at t=1 against an adversary confined to a single component’s stored or in-transit data: any single-component compromise yields only attribution-surface fragments.</w:t>
      </w:r>
    </w:p>
    <w:p>
      <w:pPr>
        <w:pStyle w:val="BodyText"/>
      </w:pPr>
      <w:r>
        <w:t xml:space="preserve">This guarantee rests on G6, BlindShare_key’s disposability, and the match-board signature check (Section 3.3) together: G6 prevents any single party from holding both channels; wrapping PacketHash under a key C alone generates and never shares prevents the validator from ever recovering PacketHash even while holding the credential channel; and the match board’s independent verification prevents anyone, including a compromised credential processor, from posting a plaintext that does not match what the validator signed. A PacketHash sent to the validator unwrapped, or wrapped only under a key the validator also held, would have let a compromised validator recompute and check it directly, which is exactly what Section 3.2 closes.</w:t>
      </w:r>
    </w:p>
    <w:p>
      <w:pPr>
        <w:pStyle w:val="BodyText"/>
      </w:pPr>
      <w:r>
        <w:t xml:space="preserve">Correlation now requires coordinated compromise across components: compromising the validator together with C combines identity and PacketHash, since the validator can then decrypt the token it observed and C already holds PacketHash for that same transaction; the validator together with any one gatekeeper does the same, since a gatekeeper holds PacketHash in the clear just as C does. This is the coordinated multi-component compromise already treated as outside the adversary model in Section 4.1.</w:t>
      </w:r>
    </w:p>
    <w:p>
      <w:pPr>
        <w:pStyle w:val="BodyText"/>
      </w:pPr>
      <w:r>
        <w:t xml:space="preserve">Independence at the component level means the credential validator, C, and each content-channel submission server must not share ownership, legal jurisdiction, or key material with one another: the two-signer registry requirement in Section 3.3 assumes the two content-channel servers cannot collude, and that assumption rests on the same independence requirement, not on the protocol alone. The structural controls enforcing this are documented in Section 6.2. Under standard blockchain fault tolerance assumptions (requiring honest Registry Nodes to outnumber compromised ones by at least 2:1), the consensus layer’s attack surface is manageable for practical threat models; this is a separate claim from Device Non-Correlation.</w:t>
      </w:r>
    </w:p>
    <w:p>
      <w:pPr>
        <w:pStyle w:val="BodyText"/>
      </w:pPr>
      <w:r>
        <w:t xml:space="preserve">The privacy guarantee is computational rather than information-theoretic, not absolute. Table 3 summarizes every row of the compromise analysis in one place.</w:t>
      </w:r>
    </w:p>
    <w:p>
      <w:pPr>
        <w:pStyle w:val="BodyText"/>
      </w:pPr>
      <w:r>
        <w:rPr>
          <w:bCs/>
          <w:b/>
        </w:rPr>
        <w:t xml:space="preserve">Table 3.</w:t>
      </w:r>
      <w:r>
        <w:t xml:space="preserve"> Compromise summary: what each party or vantage point can determine, and the formal basis for each row.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Party / vantage point</w:t>
            </w:r>
          </w:p>
        </w:tc>
        <w:tc>
          <w:tcPr/>
          <w:p>
            <w:pPr>
              <w:pStyle w:val="Compact"/>
              <w:jc w:val="left"/>
            </w:pPr>
            <w:r>
              <w:t xml:space="preserve">Reveals</w:t>
            </w:r>
          </w:p>
        </w:tc>
        <w:tc>
          <w:tcPr/>
          <w:p>
            <w:pPr>
              <w:pStyle w:val="Compact"/>
              <w:jc w:val="left"/>
            </w:pPr>
            <w:r>
              <w:t xml:space="preserve">Cannot determine</w:t>
            </w:r>
          </w:p>
        </w:tc>
        <w:tc>
          <w:tcPr/>
          <w:p>
            <w:pPr>
              <w:pStyle w:val="Compact"/>
              <w:jc w:val="left"/>
            </w:pPr>
            <w:r>
              <w:t xml:space="preserve">Formal basis</w:t>
            </w:r>
          </w:p>
        </w:tc>
      </w:tr>
      <w:tr>
        <w:tc>
          <w:tcPr/>
          <w:p>
            <w:pPr>
              <w:pStyle w:val="Compact"/>
              <w:jc w:val="left"/>
            </w:pPr>
            <w:r>
              <w:t xml:space="preserve">Registry observer (public, no compromise)</w:t>
            </w:r>
          </w:p>
        </w:tc>
        <w:tc>
          <w:tcPr/>
          <w:p>
            <w:pPr>
              <w:pStyle w:val="Compact"/>
              <w:jc w:val="left"/>
            </w:pPr>
            <w:r>
              <w:t xml:space="preserve">Content hashes; timestamps</w:t>
            </w:r>
          </w:p>
        </w:tc>
        <w:tc>
          <w:tcPr/>
          <w:p>
            <w:pPr>
              <w:pStyle w:val="Compact"/>
              <w:jc w:val="left"/>
            </w:pPr>
            <w:r>
              <w:t xml:space="preserve">Which device produced which content</w:t>
            </w:r>
          </w:p>
        </w:tc>
        <w:tc>
          <w:tcPr/>
          <w:p>
            <w:pPr>
              <w:pStyle w:val="Compact"/>
              <w:jc w:val="left"/>
            </w:pPr>
            <w:r>
              <w:t xml:space="preserve">Property B (BM_Baseline_Noncorrelation.pv)</w:t>
            </w:r>
          </w:p>
        </w:tc>
      </w:tr>
      <w:tr>
        <w:tc>
          <w:tcPr/>
          <w:p>
            <w:pPr>
              <w:pStyle w:val="Compact"/>
              <w:jc w:val="left"/>
            </w:pPr>
            <w:r>
              <w:t xml:space="preserve">Credential processor compromised alone</w:t>
            </w:r>
          </w:p>
        </w:tc>
        <w:tc>
          <w:tcPr/>
          <w:p>
            <w:pPr>
              <w:pStyle w:val="Compact"/>
              <w:jc w:val="left"/>
            </w:pPr>
            <w:r>
              <w:t xml:space="preserve">PacketHash (in the clear); encrypted device token (still opaque, no V-token_sk)</w:t>
            </w:r>
          </w:p>
        </w:tc>
        <w:tc>
          <w:tcPr/>
          <w:p>
            <w:pPr>
              <w:pStyle w:val="Compact"/>
              <w:jc w:val="left"/>
            </w:pPr>
            <w:r>
              <w:t xml:space="preserve">device_id, since the token stays encrypted regardless</w:t>
            </w:r>
          </w:p>
        </w:tc>
        <w:tc>
          <w:tcPr/>
          <w:p>
            <w:pPr>
              <w:pStyle w:val="Compact"/>
              <w:jc w:val="left"/>
            </w:pPr>
            <w:r>
              <w:t xml:space="preserve">Property D (BM_CredentialProcessor_Compromise.pv, confirmed)</w:t>
            </w:r>
          </w:p>
        </w:tc>
      </w:tr>
      <w:tr>
        <w:tc>
          <w:tcPr/>
          <w:p>
            <w:pPr>
              <w:pStyle w:val="Compact"/>
              <w:jc w:val="left"/>
            </w:pPr>
            <w:r>
              <w:t xml:space="preserve">Content-channel submission server (F or I) compromised alone</w:t>
            </w:r>
          </w:p>
        </w:tc>
        <w:tc>
          <w:tcPr/>
          <w:p>
            <w:pPr>
              <w:pStyle w:val="Compact"/>
              <w:jc w:val="left"/>
            </w:pPr>
            <w:r>
              <w:t xml:space="preserve">ContentHash and n for its own transactions; its own computed PacketHash candidate</w:t>
            </w:r>
          </w:p>
        </w:tc>
        <w:tc>
          <w:tcPr/>
          <w:p>
            <w:pPr>
              <w:pStyle w:val="Compact"/>
              <w:jc w:val="left"/>
            </w:pPr>
            <w:r>
              <w:t xml:space="preserve">device_id, since it never receives the credential channel at all (this row is the credential channel’s own scope; Appendix D separately evaluates whether the same compromised party, combined with network timing A_PRIV already grants, can determine anything narrower)</w:t>
            </w:r>
          </w:p>
        </w:tc>
        <w:tc>
          <w:tcPr/>
          <w:p>
            <w:pPr>
              <w:pStyle w:val="Compact"/>
              <w:jc w:val="left"/>
            </w:pPr>
            <w:r>
              <w:t xml:space="preserve">Property F (BM_ContentServer_Compromise.pv, confirmed)</w:t>
            </w:r>
          </w:p>
        </w:tc>
      </w:tr>
      <w:tr>
        <w:tc>
          <w:tcPr/>
          <w:p>
            <w:pPr>
              <w:pStyle w:val="Compact"/>
              <w:jc w:val="left"/>
            </w:pPr>
            <w:r>
              <w:t xml:space="preserve">Gatekeeper compromised alone</w:t>
            </w:r>
          </w:p>
        </w:tc>
        <w:tc>
          <w:tcPr/>
          <w:p>
            <w:pPr>
              <w:pStyle w:val="Compact"/>
              <w:jc w:val="left"/>
            </w:pPr>
            <w:r>
              <w:t xml:space="preserve">PacketHash (in the clear); the validator’s signature; BlindShare_key; C’s ring signature over PacketHash</w:t>
            </w:r>
          </w:p>
        </w:tc>
        <w:tc>
          <w:tcPr/>
          <w:p>
            <w:pPr>
              <w:pStyle w:val="Compact"/>
              <w:jc w:val="left"/>
            </w:pPr>
            <w:r>
              <w:t xml:space="preserve">device_id, since the credential channel’s token never reaches a gatekeeper at all; which candidate pool member C actually was, since the ring signature hides this from the gatekeeper along with everyone else</w:t>
            </w:r>
          </w:p>
        </w:tc>
        <w:tc>
          <w:tcPr/>
          <w:p>
            <w:pPr>
              <w:pStyle w:val="Compact"/>
              <w:jc w:val="left"/>
            </w:pPr>
            <w:r>
              <w:t xml:space="preserve">Property J (BM_Gatekeeper_Compromise.pv, confirmed)</w:t>
            </w:r>
          </w:p>
        </w:tc>
      </w:tr>
      <w:tr>
        <w:tc>
          <w:tcPr/>
          <w:p>
            <w:pPr>
              <w:pStyle w:val="Compact"/>
              <w:jc w:val="left"/>
            </w:pPr>
            <w:r>
              <w:t xml:space="preserve">Zero-compromise global network observer</w:t>
            </w:r>
          </w:p>
        </w:tc>
        <w:tc>
          <w:tcPr/>
          <w:p>
            <w:pPr>
              <w:pStyle w:val="Compact"/>
              <w:jc w:val="left"/>
            </w:pPr>
            <w:r>
              <w:t xml:space="preserve">Nothing readable: every channel is encrypted under some recipient’s relay-terminus key</w:t>
            </w:r>
          </w:p>
        </w:tc>
        <w:tc>
          <w:tcPr/>
          <w:p>
            <w:pPr>
              <w:pStyle w:val="Compact"/>
              <w:jc w:val="left"/>
            </w:pPr>
            <w:r>
              <w:t xml:space="preserve">Anything from channel content; no channel is ever transmitted unencrypted to a party without the matching key. Timing and traffic-volume analysis are outside what this row’s formal basis covers (Appendix A.5).</w:t>
            </w:r>
          </w:p>
        </w:tc>
        <w:tc>
          <w:tcPr/>
          <w:p>
            <w:pPr>
              <w:pStyle w:val="Compact"/>
              <w:jc w:val="left"/>
            </w:pPr>
            <w:r>
              <w:t xml:space="preserve">Properties A, D, E, F (BM_Baseline_Noncorrelation.pv, BM_CredentialProcessor_Compromise.pv, BM_Validator_Compromise.pv, BM_ContentServer_Compromise.pv); Section 3.2</w:t>
            </w:r>
          </w:p>
        </w:tc>
      </w:tr>
      <w:tr>
        <w:tc>
          <w:tcPr/>
          <w:p>
            <w:pPr>
              <w:pStyle w:val="Compact"/>
              <w:jc w:val="left"/>
            </w:pPr>
            <w:r>
              <w:t xml:space="preserve">Credential validator (compromised)</w:t>
            </w:r>
          </w:p>
        </w:tc>
        <w:tc>
          <w:tcPr/>
          <w:p>
            <w:pPr>
              <w:pStyle w:val="Compact"/>
              <w:jc w:val="left"/>
            </w:pPr>
            <w:r>
              <w:t xml:space="preserve">Device identity (via decryption); an opaque, undecryptable blob (Enc_PacketHash, still wrapped under BlindShare_key)</w:t>
            </w:r>
          </w:p>
        </w:tc>
        <w:tc>
          <w:tcPr/>
          <w:p>
            <w:pPr>
              <w:pStyle w:val="Compact"/>
              <w:jc w:val="left"/>
            </w:pPr>
            <w:r>
              <w:t xml:space="preserve">Which content was authenticated, confirmed in Appendix A.3</w:t>
            </w:r>
          </w:p>
        </w:tc>
        <w:tc>
          <w:tcPr/>
          <w:p>
            <w:pPr>
              <w:pStyle w:val="Compact"/>
              <w:jc w:val="left"/>
            </w:pPr>
            <w:r>
              <w:t xml:space="preserve">Property E (BM_Validator_Compromise.pv, confirmed)</w:t>
            </w:r>
          </w:p>
        </w:tc>
      </w:tr>
      <w:tr>
        <w:tc>
          <w:tcPr/>
          <w:p>
            <w:pPr>
              <w:pStyle w:val="Compact"/>
              <w:jc w:val="left"/>
            </w:pPr>
            <w:r>
              <w:t xml:space="preserve">Validator and the credential processor, both compromised</w:t>
            </w:r>
          </w:p>
        </w:tc>
        <w:tc>
          <w:tcPr/>
          <w:p>
            <w:pPr>
              <w:pStyle w:val="Compact"/>
              <w:jc w:val="left"/>
            </w:pPr>
            <w:r>
              <w:t xml:space="preserve">Device identity and PacketHash together, linkable</w:t>
            </w:r>
          </w:p>
        </w:tc>
        <w:tc>
          <w:tcPr/>
          <w:p>
            <w:pPr>
              <w:pStyle w:val="Compact"/>
              <w:jc w:val="left"/>
            </w:pPr>
            <w:r>
              <w:t xml:space="preserve">Nothing</w:t>
            </w:r>
          </w:p>
        </w:tc>
        <w:tc>
          <w:tcPr/>
          <w:p>
            <w:pPr>
              <w:pStyle w:val="Compact"/>
              <w:jc w:val="left"/>
            </w:pPr>
            <w:r>
              <w:t xml:space="preserve">Follows directly from the Credential processor compromised alone and Credential validator (compromised) rows above</w:t>
            </w:r>
          </w:p>
        </w:tc>
      </w:tr>
      <w:tr>
        <w:tc>
          <w:tcPr/>
          <w:p>
            <w:pPr>
              <w:pStyle w:val="Compact"/>
              <w:jc w:val="left"/>
            </w:pPr>
            <w:r>
              <w:t xml:space="preserve">Validator and any one gatekeeper, both compromised</w:t>
            </w:r>
          </w:p>
        </w:tc>
        <w:tc>
          <w:tcPr/>
          <w:p>
            <w:pPr>
              <w:pStyle w:val="Compact"/>
              <w:jc w:val="left"/>
            </w:pPr>
            <w:r>
              <w:t xml:space="preserve">Device identity and PacketHash together, linkable</w:t>
            </w:r>
          </w:p>
        </w:tc>
        <w:tc>
          <w:tcPr/>
          <w:p>
            <w:pPr>
              <w:pStyle w:val="Compact"/>
              <w:jc w:val="left"/>
            </w:pPr>
            <w:r>
              <w:t xml:space="preserve">Nothing</w:t>
            </w:r>
          </w:p>
        </w:tc>
        <w:tc>
          <w:tcPr/>
          <w:p>
            <w:pPr>
              <w:pStyle w:val="Compact"/>
              <w:jc w:val="left"/>
            </w:pPr>
            <w:r>
              <w:t xml:space="preserve">Follows directly from the Gatekeeper compromised alone and Credential validator (compromised) rows above: a gatekeeper holds PacketHash in the clear just as C does, so the same linkage the validator-plus-C row establishes holds for the validator paired with any gatekeeper</w:t>
            </w:r>
          </w:p>
        </w:tc>
      </w:tr>
    </w:tbl>
    <w:p>
      <w:pPr>
        <w:pStyle w:val="BodyText"/>
      </w:pPr>
      <w:r>
        <w:rPr>
          <w:bCs/>
          <w:b/>
        </w:rPr>
        <w:t xml:space="preserve">5 REFERENCE INSTANTIATION: THE BIRTHMARK STANDARD</w:t>
      </w:r>
    </w:p>
    <w:p>
      <w:pPr>
        <w:pStyle w:val="BodyText"/>
      </w:pPr>
      <w:r>
        <w:t xml:space="preserve">This section argues, from published-benchmark cost estimates rather than measurement of an implementation (Appendix B), that the architecture is deployable on constrained hardware under real operational constraints; it is not a specification of the Birthmark Standard, which is documented in full in [4]. The Birthmark Standard instantiates the two-channel provenance architecture for photographic media in journalism contexts, applying Semantic Non-Assembly to a deployment where ZK-based approaches are computationally infeasible and metadata-dependent systems fail at distribution. An extended deployment plans a governed, audited back-lookup capability with its own formal analysis; it is not currently documented in [4] and is intended for a future revision. Which submission server acts as credential processor (Section 3.1) for a given transaction is assigned via a per-transaction identifier in the reference deployment, drawn from a table every device holds, so that no advance contact with that server is required before submission. The table labels each entry with its credential processor’s jurisdiction; the device, already aware of its own validator’s jurisdiction, excludes any entry sharing that jurisdiction before randomly selecting among the rest, so the validator and the eventual credential processor are never in the same jurisdiction for that device’s transaction. This filtering is performed locally by the device against an identically-structured table every device receives regardless of manufacturer, so no manufacturer-specific table variant exists for an observer to distinguish. Neither this assignment mechanism nor the jurisdiction-exclusion filter is formally verified in this paper.</w:t>
      </w:r>
    </w:p>
    <w:p>
      <w:pPr>
        <w:pStyle w:val="BodyText"/>
      </w:pPr>
      <w:r>
        <w:t xml:space="preserve">Deployment viability on constrained hardware follows from the Birthmark Protocol’s computational requirements: device-side operations require only ECIES key encapsulation, AES-256-GCM, and SHA-256, primitives available on virtually all modern embedded processors. Registry records are compact (173 bytes on-chain for a capture, at most 237 with both optional fields), consistent with G5 (Section 4.2), enabling nonprofit organizations to operate Registry Nodes at low cost. The architecture’s governance instantiation is provided by journalism organizations, fact-checking networks, and press freedom advocates operating under the anti-concentration controls described in Section 6.2. Full implementation details, hardware benchmarks, on-chain record structure, and governance specification are documented in [4].</w:t>
      </w:r>
    </w:p>
    <w:p>
      <w:pPr>
        <w:pStyle w:val="BodyText"/>
      </w:pPr>
      <w:r>
        <w:rPr>
          <w:bCs/>
          <w:b/>
        </w:rPr>
        <w:t xml:space="preserve">6 DISCUSSION</w:t>
      </w:r>
    </w:p>
    <w:p>
      <w:pPr>
        <w:pStyle w:val="BodyText"/>
      </w:pPr>
      <w:r>
        <w:rPr>
          <w:bCs/>
          <w:b/>
        </w:rPr>
        <w:t xml:space="preserve">6.1 Relationship to Cryptographic Blinding Approaches</w:t>
      </w:r>
    </w:p>
    <w:p>
      <w:pPr>
        <w:pStyle w:val="BodyText"/>
      </w:pPr>
      <w:r>
        <w:t xml:space="preserve">ZK-proof-based device authentication provides membership-proof guarantees without any credential validator at all, avoiding the coordinated-compromise requirement this architecture still carries: a ZK system needs no second component to hold anything back, since there is no validator to compromise in the first place. ZK systems carry computational hardness assumptions, trusted-setup requirements, and proof-generation implementation complexity on constrained hardware in exchange. This architecture, confirmed in Appendix A.3, resists validator compromise alone to the same degree; correlation still requires coordinated compromise of the validator together with C, or together with any one gatekeeper (Section 4.6), a structural cost rather than a cryptographic one. Real ZK deployments also generate operational metadata outside the formal model: network traffic patterns, validator logs, and timing correlations that are structurally indistinguishable from those of this architecture. Neither system eliminates operational metadata leakage; the difference lies in the consequences of leakage, not its occurrence. On constrained capture hardware, the performance gap is also a practical constraint: ZK proof generation via multi-scalar multiplication (MSM) on ARM-class embedded processors requires seconds to minutes per proof [5], introducing capture-path latency and thermal load incompatible with continuous-capture operation. Device-side key-encapsulation and symmetric operations in this architecture require only lightweight, standard cryptographic primitives, ECIES key encapsulation (two elliptic curve scalar multiplications, approximately 2–10ms on ARM Cortex-A class processors) and AES-256-GCM for the token and the credential bundle, several orders of magnitude faster than ZK’s proof-generation overhead [18]. Hashing the media content itself is this architecture’s larger, unavoidable cost, up to roughly 1000ms in the worst case on the same conservative embedded baseline (Appendix B). Proving that same hash inside a ZK circuit, rather than computing it natively, is slower still, even under the best publicly documented conditions: Bünz, Rothblum, and Wang’s Flock system [20], the fastest SHA-256-proving result we are aware of, achieves roughly 42,000 SHA-256 compressions per second on a single core of an Apple M4 Max, a desktop-class processor unavailable on any camera; hashing a comparably-sized file at that rate takes on the order of 11 seconds. Comparing this architecture’s worst case against ZK’s best case, on hardware no camera actually has, this architecture remains roughly an order of magnitude faster. This architecture additionally provides a semantic minimization property ZK systems do not inherently provide: the system holds no media content, so no party can perform content-based attribution regardless of protocol-layer guarantees.</w:t>
      </w:r>
    </w:p>
    <w:p>
      <w:pPr>
        <w:pStyle w:val="BodyText"/>
      </w:pPr>
      <w:r>
        <w:t xml:space="preserve">A signature-based anonymous-credential scheme such as Direct Anonymous Attestation (Section 2) avoids the in-circuit hashing cost compared above, but it would still need the same coordinated-compromise argument, and like ZK it would not by itself provide this architecture’s semantic-minimization property.</w:t>
      </w:r>
    </w:p>
    <w:p>
      <w:pPr>
        <w:pStyle w:val="BodyText"/>
      </w:pPr>
      <w:r>
        <w:t xml:space="preserve">ZK-based device authentication and SNA are orthogonal. ZK addresses whether a device can prove membership without revealing which member it is; SNA addresses whether any component can assemble the sufficient information set for the target identification function. A ZK-based system does not automatically satisfy SNA, and this architecture satisfies SNA without ZK. For deployment contexts where both are achievable, they are complementary.</w:t>
      </w:r>
    </w:p>
    <w:p>
      <w:pPr>
        <w:pStyle w:val="BodyText"/>
      </w:pPr>
      <w:r>
        <w:rPr>
          <w:bCs/>
          <w:b/>
        </w:rPr>
        <w:t xml:space="preserve">6.2 Bounded Disclosure Under Compromise</w:t>
      </w:r>
    </w:p>
    <w:p>
      <w:pPr>
        <w:pStyle w:val="BodyText"/>
      </w:pPr>
      <w:r>
        <w:t xml:space="preserve">A compelled single infrastructure component yields only the bounded disclosure characterized in Table 2. Consortium member compulsion triggers mandatory removal instead of retaining a compromised Registry Node (per the reference instantiation’s governance model): the compelled operator faces a binary choice, resist the order and remain in the consortium, or comply and be removed from the accepted server list, and either outcome is publicly observable through the audit record, converting geopolitical legal pressure from a silent compromise vector into a visible governance event. This is a deterrence property as much as a containment one: a legal order that costs the compelling authority the compromised operator’s participation, without granting durable or undetected access to what it targeted, offers a materially worse risk-reward calculus than one that would not, which bears on whether the compulsion is attempted in the first place, not only on what happens if it is. The 67% supermajority required for finalization means a compelled minority cannot suppress records while the removal process completes. Operators in different jurisdictions are subject to different legal orders; simultaneous multi-jurisdictional compulsion is categorically harder to execute than single-operator compulsion and represents the same coordinated multi-component class of attack described as out of scope in Section 4.1.</w:t>
      </w:r>
    </w:p>
    <w:p>
      <w:pPr>
        <w:pStyle w:val="BodyText"/>
      </w:pPr>
      <w:r>
        <w:t xml:space="preserve">The audited constraint preservation model treats this explicitly: the consortium governance layer provides continuous public auditability of constraint satisfaction, so any degradation of structural independence is potentially detectable through the public audit record before it becomes exploitable, a detection opportunity, not a detection guarantee or a cryptographic one, since an adversary with sufficient control over the governance process could suppress the audit signal. These measures reduce the passive observation value of the registry and raise the coordination cost of correlation attacks; timing analysis, traffic analysis, validator behavior leakage, and operational metadata correlation remain partially possible regardless.</w:t>
      </w:r>
    </w:p>
    <w:p>
      <w:pPr>
        <w:pStyle w:val="BodyText"/>
      </w:pPr>
      <w:r>
        <w:t xml:space="preserve">The reference governance model incorporates explicit anti-concentration controls intended to preserve the structural independence assumptions on which Semantic Non-Assembly depends. Registry Node ownership is capped per organization (Section 3.3 of the governance charter), with related entities treated as a single governance actor for ownership-limit purposes. Operators are additionally assigned to infrastructural stack profiles so that a single shared vulnerability cannot reach more than one profile’s worth of the pool (Section 4.1). Operational hardening can extend further: submission servers and validators can limit recorded event timestamps in operational logs to coarse windows (ten-minute granularity, for instance), narrowing the resolution available for timing-correlation analysis without eliminating it. The audit body’s own records (jurisdiction, ownership, and stack-profile assignments) contain no transaction-level data and are never populated from submission activity, so this registry cannot itself become a correlation surface. The PacketHash-discard requirement in Section 3.2 can also be checked directly: a submitter can supply the ContentHash and n from one of their own past submissions (the only party who ever holds n), letting the governance body recompute PacketHash and search C’s, each gatekeeper’s, the match boards’, and both content-channel submission servers’ logs for any residual copy of PacketHash, BlindShare_key, the signed Enc_PacketHash blob, or C’s ring signature over that transaction; the credential validator is excluded, since it never recovers PacketHash at all. The same submitter-initiated technique extends to the routing code each Addressed-hop server reads on the first relay hop (Section 3.2): a submitter who knows the routing code from their own past submission can ask the governance body to search that server’s logs for any residual copy. Any residual copy found is a governance violation, handled through the same removal process as other constraint failures, regardless of whether it stemmed from negligence, compulsion, or misconduct. The audit is necessarily submitter-initiated rather than a blanket scan, since only the original n makes a specific PacketHash identifiable; it is a detective control confirming the discard requirement after the fact, not a preventive one that stops retention from happening. This converts distributed governance from an aspiration into an enforceable structural property. Excluding organizations with direct media-production or commercial content interests from Registry Node governance reduces conflict-of-interest risk to censorship-resistance and provenance claims; credential validators (camera manufacturers) operate outside consortium governance by design, accepting that manufacturer independence from editorial governance is preserved at the cost of no formal manufacturer voice in protocol decisions. These measures do not cryptographically guarantee long-term institutional independence, but they increase the operational difficulty of silent consolidation and reduce incentives for attribution-capability convergence. The governance layer is therefore a load-bearing component of the security architecture, not an administrative overlay.</w:t>
      </w:r>
    </w:p>
    <w:p>
      <w:pPr>
        <w:pStyle w:val="BodyText"/>
      </w:pPr>
      <w:r>
        <w:rPr>
          <w:bCs/>
          <w:b/>
        </w:rPr>
        <w:t xml:space="preserve">6.3 Limitations</w:t>
      </w:r>
    </w:p>
    <w:p>
      <w:pPr>
        <w:pStyle w:val="BodyText"/>
      </w:pPr>
      <w:r>
        <w:rPr>
          <w:bCs/>
          <w:b/>
        </w:rPr>
        <w:t xml:space="preserve">Scope: traffic-analysis resistance is empirical, not formally verified.</w:t>
      </w:r>
      <w:r>
        <w:t xml:space="preserve"> Appendix D reports a simulated evaluation of G6’s timing randomization and padding against two independently designed attacks; neither beat the anonymity set’s chance baseline at any tested setting, though one weak, uncalibrated signal is reported and remains below it (Appendix D.2). This is a statistical measurement and carries less certainty than the ProVerif results in Appendix A.</w:t>
      </w:r>
    </w:p>
    <w:p>
      <w:pPr>
        <w:pStyle w:val="BodyText"/>
      </w:pPr>
      <w:r>
        <w:rPr>
          <w:bCs/>
          <w:b/>
        </w:rPr>
        <w:t xml:space="preserve">Scope: hardware provenance only.</w:t>
      </w:r>
      <w:r>
        <w:t xml:space="preserve"> Records confirm only that content originated from a registered device (Section 1.2). Staged content passes verification, and so does any other content a device owner chooses to capture with their own registered, unmodified camera, whether a real scene, a screen, a printed image, or a projection: the device owner controlling what the camera points at is not a compromise of hardware provenance, since the record still correctly states which device produced it. This scope is intentional.</w:t>
      </w:r>
    </w:p>
    <w:p>
      <w:pPr>
        <w:pStyle w:val="BodyText"/>
      </w:pPr>
      <w:r>
        <w:rPr>
          <w:bCs/>
          <w:b/>
        </w:rPr>
        <w:t xml:space="preserve">Scope: exact rather than perceptual hashing.</w:t>
      </w:r>
      <w:r>
        <w:t xml:space="preserve"> G3 relies on SHA-256, an exact hash: any bit-level change outside certified processing software, including transformations a viewer would consider harmless (recompression, resizing, format conversion), breaks the match. A perceptual hash, tolerant of such transformations by design, would extend coverage to uncertified reprocessing without requiring platform participation (Section 6.3, Adoption dependency). It would also introduce a different attack surface: perceptual hashes are designed to treat similar images as the same, which is exactly the property an adversary substituting a different but visually close image for a genuine one would exploit, trading an exact-match false-negative problem for an approximate-match false-positive one. This architecture accepts the exact-match tradeoff; a perceptual layer could be added on top of it, not in place of it, without changing the properties proven in Appendix A.</w:t>
      </w:r>
    </w:p>
    <w:p>
      <w:pPr>
        <w:pStyle w:val="BodyText"/>
      </w:pPr>
      <w:r>
        <w:rPr>
          <w:bCs/>
          <w:b/>
        </w:rPr>
        <w:t xml:space="preserve">Scope: anonymity set is per-manufacturer, not ecosystem-wide.</w:t>
      </w:r>
      <w:r>
        <w:t xml:space="preserve"> The match board’s revocation check (Appendix C) requires it to know which manufacturer’s key verified a given signature, narrowing the practical anonymity set for that submission to devices registered with that one manufacturer, not the full population of registered devices across every manufacturer. Table 2’s non-correlation guarantees hold within that narrowed set: a manufacturer with few registered devices offers a correspondingly small anonymity set, regardless of how many devices other manufacturers have registered. C itself does learn this same manufacturer-level information during routing, since key_ref, which names the manufacturer's key-table entry, travels to C in the clear as part of the credential bundle.</w:t>
      </w:r>
    </w:p>
    <w:p>
      <w:pPr>
        <w:pStyle w:val="BodyText"/>
      </w:pPr>
      <w:r>
        <w:rPr>
          <w:bCs/>
          <w:b/>
        </w:rPr>
        <w:t xml:space="preserve">Governance capture.</w:t>
      </w:r>
      <w:r>
        <w:t xml:space="preserve"> The controls in Section 6.2 reduce the incentive and opportunity for capture, an institutionally realistic failure mode for journalism-adjacent governance, but do not eliminate it; the audited constraint preservation model is the detection mechanism if it occurs.</w:t>
      </w:r>
    </w:p>
    <w:p>
      <w:pPr>
        <w:pStyle w:val="BodyText"/>
      </w:pPr>
      <w:r>
        <w:rPr>
          <w:bCs/>
          <w:b/>
        </w:rPr>
        <w:t xml:space="preserve">Formal model scope.</w:t>
      </w:r>
      <w:r>
        <w:t xml:space="preserve"> The ProVerif proofs establish channel separation properties under a network adversary model; Appendix A.5 documents what they cover and exclude.</w:t>
      </w:r>
    </w:p>
    <w:p>
      <w:pPr>
        <w:pStyle w:val="BodyText"/>
      </w:pPr>
      <w:r>
        <w:rPr>
          <w:bCs/>
          <w:b/>
        </w:rPr>
        <w:t xml:space="preserve">Adoption dependency.</w:t>
      </w:r>
      <w:r>
        <w:t xml:space="preserve"> The system provides positive verification only. Content from devices whose manufacturers have not registered as credential validators lacks registry records and passes through the system unverified. Coverage is bounded by manufacturer participation, not by the architecture itself. In regulatory or legal contexts, this creates a structural asymmetry: content authenticated through participating manufacturers carries positive verification while content from non-participating hardware does not. This two-tier dynamic is not created by the architecture (unverified content exists in any system that provides positive verification only), but the architecture does not eliminate it either. Organizations using non-participating hardware are in no worse a position than they would be without the system, but they do not benefit from it. The natural mitigation is open-source credential infrastructure that allows smaller manufacturers and device categories to participate at low cost; the architecture permits this without requiring it. The same dynamic applies to processing software: content reprocessed by a platform that has not adopted certified processing software (Section 4.2, G3) loses its chain to the original record for the same reason, coverage bounded by participation, not by the architecture. Platforms with an independent incentive to offer their own users non-AI provenance validation are the likely early adopters, lowering that participation barrier the same way open-source credential infrastructure does on the manufacturer side. Deployers operating in regulatory contexts where verification asymmetry could have legal consequences should assess participation coverage before deployment.</w:t>
      </w:r>
    </w:p>
    <w:p>
      <w:pPr>
        <w:pStyle w:val="BodyText"/>
      </w:pPr>
      <w:r>
        <w:rPr>
          <w:bCs/>
          <w:b/>
        </w:rPr>
        <w:t xml:space="preserve">Content hash collision.</w:t>
      </w:r>
      <w:r>
        <w:t xml:space="preserve"> Verification records are bound to content hashes, not content. Two distinct media files with the same SHA-256 hash would share a verification record. At realistic submission volumes (10^9 per day), accidental collision probability remains negligible under SHA-256’s 2^128 collision resistance. Constructing a perceptually coherent image that intentionally collides with a target hash is computationally infeasible under current assumptions; this attack class is outside the defined adversary model.</w:t>
      </w:r>
    </w:p>
    <w:p>
      <w:pPr>
        <w:pStyle w:val="BodyText"/>
      </w:pPr>
      <w:r>
        <w:rPr>
          <w:bCs/>
          <w:b/>
        </w:rPr>
        <w:t xml:space="preserve">Hardware assumptions.</w:t>
      </w:r>
      <w:r>
        <w:t xml:space="preserve"> Device credentials depend on secure-element integrity (A_HW, Section 4.1); no formal bound establishes that bulk extraction is infeasible, and the picture may change as hardware attack techniques evolve.</w:t>
      </w:r>
    </w:p>
    <w:p>
      <w:pPr>
        <w:pStyle w:val="BodyText"/>
      </w:pPr>
      <w:r>
        <w:rPr>
          <w:bCs/>
          <w:b/>
        </w:rPr>
        <w:t xml:space="preserve">Data classification under GDPR.</w:t>
      </w:r>
      <w:r>
        <w:t xml:space="preserve"> The architecture does not process personal data in the conventional sense: the registry holds only content hashes and coarsened timestamps, and no component retains device identifiers or photographer identity. In photojournalism deployment contexts, however, a content hash of a photograph of an identifiable individual (combined with a coarsened timestamp) may constitute personal data under GDPR Article 4(1) when held by a party that independently possesses the underlying media, since the hash is linkable to an identifiable person through that media. The architecture does not create this linkage, and no component holds both the hash and the media. Whether content hashes in isolation constitute personal data under the relevant jurisdiction’s interpretation of GDPR is a deployment-specific legal question outside the scope of this paper; deployers operating under GDPR should obtain appropriate legal assessment for their specific context.</w:t>
      </w:r>
    </w:p>
    <w:p>
      <w:pPr>
        <w:pStyle w:val="BodyText"/>
      </w:pPr>
      <w:r>
        <w:rPr>
          <w:bCs/>
          <w:b/>
        </w:rPr>
        <w:t xml:space="preserve">7 CONCLUSION</w:t>
      </w:r>
    </w:p>
    <w:p>
      <w:pPr>
        <w:pStyle w:val="BodyText"/>
      </w:pPr>
      <w:r>
        <w:t xml:space="preserve">We have presented the Birthmark Protocol, an architecture instantiating Semantic Non-Assembly: a precise, executable threshold built from Hoepman’s SEPARATE and HIDE privacy design strategies [13], characterized by the information yield of component exposure rather than the difficulty of achieving it. In the base protocol, the guarantee is structural rather than procedural: architecture enforces it; policy cannot. It applies to systems where a target identification function is authorized but must not be passively available. The protocol instantiates the guarantee with ProVerif-verified formal properties, and the Birthmark Standard’s estimated computational cost (Appendix B) supports deployability on constrained capture hardware.</w:t>
      </w:r>
    </w:p>
    <w:p>
      <w:pPr>
        <w:pStyle w:val="BodyText"/>
      </w:pPr>
      <w:r>
        <w:t xml:space="preserve">Structurally, no component ever holds sufficient information to correlate a device to content, and the system never holds media content at any stage. In the base architecture, bulk attribution or photographer enumeration across many devices or many pieces of content remains structurally hard even under full operator collusion, since correlating any specific pairing requires a candidate image already in hand. Targeted correlation of one already-possessed image to its originating device is prevented against the compromise of any single component (the credential validator, C, a gatekeeper, or either content-channel submission server), confirmed in Appendix A.3. Correlation requires coordinated compromise of the validator together with C, or together with any one gatekeeper, the same multi-component threshold stated throughout Table 3 and Section 4.6.</w:t>
      </w:r>
    </w:p>
    <w:p>
      <w:pPr>
        <w:pStyle w:val="BodyText"/>
      </w:pPr>
      <w:r>
        <w:t xml:space="preserve">Deployment viability follows from the Birthmark Protocol’s computational requirements: device-side operations require only lightweight, standard cryptographic primitives, well suited to commodity embedded hardware; benchmarks are documented in [4]. A reference instantiation (the Birthmark Standard) demonstrates compact on-chain records (173 bytes for a capture) and governance by journalism organizations operating on commodity hardware at low per-node cost. The specification and reference implementation are published under Apache 2.0.</w:t>
      </w:r>
    </w:p>
    <w:p>
      <w:pPr>
        <w:pStyle w:val="BodyText"/>
      </w:pPr>
      <w:r>
        <w:t xml:space="preserve">In a threat environment where leaks are inevitable, designing for the consequences of failure is at least as important as designing against it.</w:t>
      </w:r>
    </w:p>
    <w:p>
      <w:pPr>
        <w:pStyle w:val="BodyText"/>
      </w:pPr>
      <w:r>
        <w:rPr>
          <w:bCs/>
          <w:b/>
        </w:rPr>
        <w:t xml:space="preserve">REFERENCES</w:t>
      </w:r>
    </w:p>
    <w:p>
      <w:pPr>
        <w:pStyle w:val="BodyText"/>
      </w:pPr>
      <w:r>
        <w:t xml:space="preserve">[1] Coalition for Content Provenance and Authenticity. C2PA Technical Specification, Version 2.1. September 2024. https://spec.c2pa.org/specifications/specifications/2.1/</w:t>
      </w:r>
    </w:p>
    <w:p>
      <w:pPr>
        <w:pStyle w:val="BodyText"/>
      </w:pPr>
      <w:r>
        <w:t xml:space="preserve">[2] Blanchet, B. An Efficient Cryptographic Protocol Verifier Based on Prolog Rules. CSFW 2001.</w:t>
      </w:r>
    </w:p>
    <w:p>
      <w:pPr>
        <w:pStyle w:val="BodyText"/>
      </w:pPr>
      <w:r>
        <w:t xml:space="preserve">[3] Wood, G. Polkadot: Vision for a Heterogeneous Multi-Chain Framework. 2016.</w:t>
      </w:r>
    </w:p>
    <w:p>
      <w:pPr>
        <w:pStyle w:val="BodyText"/>
      </w:pPr>
      <w:r>
        <w:t xml:space="preserve">[4] Ryan, S. The Birthmark Standard: Privacy-Preserving Photo Authentication via Hardware Roots of Trust and Consortium Blockchain. arXiv:2602.04933, 2026. (arXiv preprint; not independently peer-reviewed at time of this submission.)</w:t>
      </w:r>
    </w:p>
    <w:p>
      <w:pPr>
        <w:pStyle w:val="BodyText"/>
      </w:pPr>
      <w:r>
        <w:t xml:space="preserve">[5] Salleras, X.; Daza, V. ZPiE: Zero-Knowledge Proofs in Embedded Systems. Mathematics 2021, 9(20), 2569. https://doi.org/10.3390/math9202569</w:t>
      </w:r>
    </w:p>
    <w:p>
      <w:pPr>
        <w:pStyle w:val="BodyText"/>
      </w:pPr>
      <w:r>
        <w:t xml:space="preserve">[6] Saltzer, J.H.; Schroeder, M.D. The Protection of Information in Computer Systems. Proceedings of the IEEE, 63(9), 1278–1308, 1975.</w:t>
      </w:r>
    </w:p>
    <w:p>
      <w:pPr>
        <w:pStyle w:val="BodyText"/>
      </w:pPr>
      <w:r>
        <w:t xml:space="preserve">[7] Groth, J. On the Size of Pairing-Based Non-Interactive Arguments. EUROCRYPT 2016, LNCS vol. 9666, pp. 305–326. DOI: 10.1007/978-3-662-49896-5_11.</w:t>
      </w:r>
    </w:p>
    <w:p>
      <w:pPr>
        <w:pStyle w:val="BodyText"/>
      </w:pPr>
      <w:r>
        <w:t xml:space="preserve">[8] Cavoukian, A. Privacy by Design: The 7 Foundational Principles. IPC Ontario, revised January 2011.</w:t>
      </w:r>
    </w:p>
    <w:p>
      <w:pPr>
        <w:pStyle w:val="BodyText"/>
      </w:pPr>
      <w:r>
        <w:t xml:space="preserve">[9] Abadi, M.; Rogaway, P. Reconciling Two Views of Cryptography. Journal of Cryptology, 15(2), 103–127, 2002. DOI: 10.1007/s00145-001-0014-7.</w:t>
      </w:r>
    </w:p>
    <w:p>
      <w:pPr>
        <w:pStyle w:val="BodyText"/>
      </w:pPr>
      <w:r>
        <w:t xml:space="preserve">[10] Ben-Or, M.; Goldwasser, S.; Wigderson, A. Completeness Theorems for Non-Cryptographic Fault-Tolerant Distributed Computation. STOC 1988, pp. 1–10. DOI: 10.1145/62212.62213.</w:t>
      </w:r>
    </w:p>
    <w:p>
      <w:pPr>
        <w:pStyle w:val="BodyText"/>
      </w:pPr>
      <w:r>
        <w:t xml:space="preserve">[11] Nissenbaum, H. Privacy as Contextual Integrity. Washington Law Review, 79(1), 119–158, 2004.</w:t>
      </w:r>
    </w:p>
    <w:p>
      <w:pPr>
        <w:pStyle w:val="BodyText"/>
      </w:pPr>
      <w:r>
        <w:t xml:space="preserve">[12] Dwork, C.; McSherry, F.; Nissim, K.; Smith, A. Calibrating Noise to Sensitivity in Private Data Analysis. TCC 2006, LNCS vol. 3876, pp. 265–284. DOI: 10.1007/11681878_14.</w:t>
      </w:r>
    </w:p>
    <w:p>
      <w:pPr>
        <w:pStyle w:val="BodyText"/>
      </w:pPr>
      <w:r>
        <w:t xml:space="preserve">[13] Hoepman, J.-H. Privacy Design Strategies. arXiv:1210.6621, 2012.</w:t>
      </w:r>
    </w:p>
    <w:p>
      <w:pPr>
        <w:pStyle w:val="BodyText"/>
      </w:pPr>
      <w:r>
        <w:t xml:space="preserve">[14] Chong, S.; van der Meyden, R. Using Architecture to Reason About Information Security. arXiv:1409.0309, 2014.</w:t>
      </w:r>
    </w:p>
    <w:p>
      <w:pPr>
        <w:pStyle w:val="BodyText"/>
      </w:pPr>
      <w:r>
        <w:t xml:space="preserve">[15] Tamada, H.; Nakamura, M.; Monden, A.; Matsumoto, K. Java Birthmarks — Detecting the Software Theft. IEICE Transactions on Information and Systems, E88-D(9), 2148–2158, 2005. DOI: 10.1093/ietisy/e88-d.9.2148.</w:t>
      </w:r>
    </w:p>
    <w:p>
      <w:pPr>
        <w:pStyle w:val="BodyText"/>
      </w:pPr>
      <w:r>
        <w:t xml:space="preserve">[16] Dingledine, R.; Mathewson, N.; Syverson, P. Tor: The Second-Generation Onion Router. Proceedings of the 13th USENIX Security Symposium, 2004.</w:t>
      </w:r>
    </w:p>
    <w:p>
      <w:pPr>
        <w:pStyle w:val="BodyText"/>
      </w:pPr>
      <w:r>
        <w:t xml:space="preserve">[17] Identity Theft Resource Center. 2025 Annual Data Breach Report. January 29, 2026. https://www.idtheftcenter.org/post/2025-annual-data-breach-report-record-number-compromises/</w:t>
      </w:r>
    </w:p>
    <w:p>
      <w:pPr>
        <w:pStyle w:val="BodyText"/>
      </w:pPr>
      <w:r>
        <w:t xml:space="preserve">[18] Bernstein, D.J.; Schwabe, P. NEON Crypto. CHES 2012. LNCS vol. 7428, pp. 320–339. DOI: 10.1007/978-3-642-33027-8_19.</w:t>
      </w:r>
    </w:p>
    <w:p>
      <w:pPr>
        <w:pStyle w:val="BodyText"/>
      </w:pPr>
      <w:r>
        <w:t xml:space="preserve">[19] Bernstein, D.J.; Lange, T. (eds.). eBACS: ECRYPT Benchmarking of Cryptographic Systems. https://bench.cr.yp.to (accessed 2026).</w:t>
      </w:r>
    </w:p>
    <w:p>
      <w:pPr>
        <w:pStyle w:val="BodyText"/>
      </w:pPr>
      <w:r>
        <w:t xml:space="preserve">[20] Bünz, B.; Rothblum, R.D.; Wang, W. Flock: Fast Proving for Batch Boolean Computations. arXiv:2607.27491, 2026.</w:t>
      </w:r>
    </w:p>
    <w:p>
      <w:pPr>
        <w:pStyle w:val="BodyText"/>
      </w:pPr>
      <w:r>
        <w:t xml:space="preserve">[21] Davidson, A.; Iyengar, J.; Wood, C.A. The Privacy Pass Architecture. RFC 9576, IETF, June 2024.</w:t>
      </w:r>
    </w:p>
    <w:p>
      <w:pPr>
        <w:pStyle w:val="BodyText"/>
      </w:pPr>
      <w:r>
        <w:t xml:space="preserve">[22] Brickell, E.; Camenisch, J.; Chen, L. Direct Anonymous Attestation. Proceedings of the 11th ACM Conference on Computer and Communications Security (CCS), pp. 132–145, 2004.</w:t>
      </w:r>
    </w:p>
    <w:p>
      <w:pPr>
        <w:pStyle w:val="BodyText"/>
      </w:pPr>
      <w:r>
        <w:t xml:space="preserve">[23] Thomson, M.; Wood, C.A. Oblivious HTTP. RFC 9458, IETF, January 2024.</w:t>
      </w:r>
    </w:p>
    <w:p>
      <w:pPr>
        <w:pStyle w:val="BodyText"/>
      </w:pPr>
      <w:r>
        <w:t xml:space="preserve">[24] Lund, J. Technology Preview: Sealed Sender for Signal. Signal blog, October 29, 2018. https://signal.org/blog/sealed-sender/</w:t>
      </w:r>
    </w:p>
    <w:p>
      <w:pPr>
        <w:pStyle w:val="BodyText"/>
      </w:pPr>
      <w:r>
        <w:t xml:space="preserve">[25] Martiny, I.; Kaptchuk, G.; Aviv, A.; Roche, D.; Wustrow, E. Improving Signal’s Sealed Sender. NDSS 2021.</w:t>
      </w:r>
    </w:p>
    <w:p>
      <w:pPr>
        <w:pStyle w:val="BodyText"/>
      </w:pPr>
      <w:r>
        <w:t xml:space="preserve">[26] Corrigan-Gibbs, H.; Boneh, D. Prio: Private, Robust, and Scalable Computation of Aggregate Statistics. 14th USENIX Symposium on Networked Systems Design and Implementation (NSDI 17), 2017.</w:t>
      </w:r>
    </w:p>
    <w:p>
      <w:pPr>
        <w:pStyle w:val="BodyText"/>
      </w:pPr>
      <w:r>
        <w:rPr>
          <w:bCs/>
          <w:b/>
        </w:rPr>
        <w:t xml:space="preserve">APPENDIX A: PROVERIF FORMAL VERIFICATION</w:t>
      </w:r>
    </w:p>
    <w:p>
      <w:pPr>
        <w:pStyle w:val="BodyText"/>
      </w:pPr>
      <w:r>
        <w:rPr>
          <w:bCs/>
          <w:b/>
        </w:rPr>
        <w:t xml:space="preserve">A.1 Overview</w:t>
      </w:r>
    </w:p>
    <w:p>
      <w:pPr>
        <w:pStyle w:val="BodyText"/>
      </w:pPr>
      <w:r>
        <w:t xml:space="preserve">This appendix presents the formal verification of the privacy properties described in Section 4 using ProVerif 2.05 [2], a cryptographic protocol verifier that uses a process algebra (applied pi-calculus) to model protocol participants and prove security properties. Full source for all nine models is maintained at https://github.com/Birthmark-Standard/Protocol; this appendix states what each model tests and its confirmed result, not the executable source itself. Nine models establish ten properties across three subsections, since Property I is supported by two models tested at increasing compromise strength. Appendix A.2 documents a single combined model, BM_Baseline_Noncorrelation.pv, establishing Properties A, B, and C together: Device Non-Correlation, Registry Observer Non-Identification, and Submission Server Blindness. Appendix A.3 documents four models, one per component, establishing Properties D, E, F, and J: that compromising C, the credential validator, a content-channel server, or a gatekeeper alone does not yield correlation. Appendix A.4 documents three further models establishing Properties G, H, and I, all forgery-resistance properties supporting G1 rather than privacy properties, each confirmed by a secrecy or correspondence query rather than an equivalence check. ProVerif identifiers cannot contain hyphens, so the models below use lowercase notation for this paper’s proper-noun terms: packethash for PacketHash, v_token_pk/v_token_sk for V-token_pk/V-token_sk (the validator’s token-decryption key), v_sign_pk/v_sign_sk for V-sign_pk/V-sign_sk (the validator’s separate signing key), c_device_pk/c_device_sk for C’s relay-terminus key, c_sign_sk for C’s ring-signing key, f_device_pk/f_device_sk (and, where a second content-channel server is distinguished, i_device_sk) for a content-channel server’s relay-terminus key, f_id_sk/i_id_sk for that same server’s separate registry-signing key, g1_sk/g1_sign_sk for a gatekeeper’s relay-terminus and countersignature keys, and blindshare_key for BlindShare_key. Otherwise the models and this appendix’s prose use the paper’s own terms throughout.</w:t>
      </w:r>
    </w:p>
    <w:p>
      <w:pPr>
        <w:pStyle w:val="BodyText"/>
      </w:pPr>
      <w:r>
        <w:t xml:space="preserve">The ProVerif models capture the core separation property: the device sends the content channel to the content-channel submission servers and the credential channel to C, as disjoint, independently-encrypted transmissions; C forwards a blinded record hash to the validator and receives back only a signature over that still-blinded value, and posts the confirmed record hash to the match board once that signature checks out. Each content-channel server independently recomputes its own candidate and checks it against the match board before submitting to the registry. The models omit optional implementation details such as timestamp rounding and key table indexing; neither affects the channel separation property being proved, as both operate after or within a single channel rather than crossing channel boundaries.</w:t>
      </w:r>
    </w:p>
    <w:p>
      <w:pPr>
        <w:pStyle w:val="BodyText"/>
      </w:pPr>
      <w:r>
        <w:t xml:space="preserve">ProVerif operates under the Dolev-Yao adversary model: the adversary controls the network, can intercept and inject messages on public channels, but cannot break cryptographic primitives (AES-256, SHA-256). The model treats cryptographic operations as secure by assumption rather than analyzing their bit-level implementation, consistent with the Network Adversary (A_NET) defined in Section 4.1.</w:t>
      </w:r>
    </w:p>
    <w:p>
      <w:pPr>
        <w:pStyle w:val="BodyText"/>
      </w:pPr>
      <w:r>
        <w:t xml:space="preserve">Table A.1 summarizes the ten verified properties, the ProVerif model used for each, and the proof technique applied.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Property</w:t>
            </w:r>
          </w:p>
        </w:tc>
        <w:tc>
          <w:tcPr/>
          <w:p>
            <w:pPr>
              <w:pStyle w:val="Compact"/>
              <w:jc w:val="left"/>
            </w:pPr>
            <w:r>
              <w:rPr>
                <w:bCs/>
                <w:b/>
              </w:rPr>
              <w:t xml:space="preserve">Model</w:t>
            </w:r>
          </w:p>
        </w:tc>
        <w:tc>
          <w:tcPr/>
          <w:p>
            <w:pPr>
              <w:pStyle w:val="Compact"/>
              <w:jc w:val="left"/>
            </w:pPr>
            <w:r>
              <w:rPr>
                <w:bCs/>
                <w:b/>
              </w:rPr>
              <w:t xml:space="preserve">Technique</w:t>
            </w:r>
          </w:p>
        </w:tc>
        <w:tc>
          <w:tcPr/>
          <w:p>
            <w:pPr>
              <w:pStyle w:val="Compact"/>
              <w:jc w:val="left"/>
            </w:pPr>
            <w:r>
              <w:rPr>
                <w:bCs/>
                <w:b/>
              </w:rPr>
              <w:t xml:space="preserve">Guarantee</w:t>
            </w:r>
          </w:p>
        </w:tc>
      </w:tr>
      <w:tr>
        <w:tc>
          <w:tcPr/>
          <w:p>
            <w:pPr>
              <w:pStyle w:val="Compact"/>
              <w:jc w:val="left"/>
            </w:pPr>
            <w:r>
              <w:t xml:space="preserve">A</w:t>
            </w:r>
          </w:p>
        </w:tc>
        <w:tc>
          <w:tcPr/>
          <w:p>
            <w:pPr>
              <w:pStyle w:val="Compact"/>
              <w:jc w:val="left"/>
            </w:pPr>
            <w:r>
              <w:t xml:space="preserve">BM_Baseline_Noncorrelation.pv</w:t>
            </w:r>
          </w:p>
        </w:tc>
        <w:tc>
          <w:tcPr/>
          <w:p>
            <w:pPr>
              <w:pStyle w:val="Compact"/>
              <w:jc w:val="left"/>
            </w:pPr>
            <w:r>
              <w:t xml:space="preserve">Observational equivalence</w:t>
            </w:r>
          </w:p>
        </w:tc>
        <w:tc>
          <w:tcPr/>
          <w:p>
            <w:pPr>
              <w:pStyle w:val="Compact"/>
              <w:jc w:val="left"/>
            </w:pPr>
            <w:r>
              <w:t xml:space="preserve">Device Non-Correlation</w:t>
            </w:r>
          </w:p>
        </w:tc>
      </w:tr>
      <w:tr>
        <w:tc>
          <w:tcPr/>
          <w:p>
            <w:pPr>
              <w:pStyle w:val="Compact"/>
              <w:jc w:val="left"/>
            </w:pPr>
            <w:r>
              <w:t xml:space="preserve">B</w:t>
            </w:r>
          </w:p>
        </w:tc>
        <w:tc>
          <w:tcPr/>
          <w:p>
            <w:pPr>
              <w:pStyle w:val="Compact"/>
              <w:jc w:val="left"/>
            </w:pPr>
            <w:r>
              <w:t xml:space="preserve">BM_Baseline_Noncorrelation.pv</w:t>
            </w:r>
          </w:p>
        </w:tc>
        <w:tc>
          <w:tcPr/>
          <w:p>
            <w:pPr>
              <w:pStyle w:val="Compact"/>
              <w:jc w:val="left"/>
            </w:pPr>
            <w:r>
              <w:t xml:space="preserve">Observational equivalence</w:t>
            </w:r>
          </w:p>
        </w:tc>
        <w:tc>
          <w:tcPr/>
          <w:p>
            <w:pPr>
              <w:pStyle w:val="Compact"/>
              <w:jc w:val="left"/>
            </w:pPr>
            <w:r>
              <w:t xml:space="preserve">Registry Observer Non-Identification</w:t>
            </w:r>
          </w:p>
        </w:tc>
      </w:tr>
      <w:tr>
        <w:tc>
          <w:tcPr/>
          <w:p>
            <w:pPr>
              <w:pStyle w:val="Compact"/>
              <w:jc w:val="left"/>
            </w:pPr>
            <w:r>
              <w:t xml:space="preserve">C</w:t>
            </w:r>
          </w:p>
        </w:tc>
        <w:tc>
          <w:tcPr/>
          <w:p>
            <w:pPr>
              <w:pStyle w:val="Compact"/>
              <w:jc w:val="left"/>
            </w:pPr>
            <w:r>
              <w:t xml:space="preserve">BM_Baseline_Noncorrelation.pv</w:t>
            </w:r>
          </w:p>
        </w:tc>
        <w:tc>
          <w:tcPr/>
          <w:p>
            <w:pPr>
              <w:pStyle w:val="Compact"/>
              <w:jc w:val="left"/>
            </w:pPr>
            <w:r>
              <w:t xml:space="preserve">Observational equivalence</w:t>
            </w:r>
          </w:p>
        </w:tc>
        <w:tc>
          <w:tcPr/>
          <w:p>
            <w:pPr>
              <w:pStyle w:val="Compact"/>
              <w:jc w:val="left"/>
            </w:pPr>
            <w:r>
              <w:t xml:space="preserve">Submission Server Blindness</w:t>
            </w:r>
          </w:p>
        </w:tc>
      </w:tr>
      <w:tr>
        <w:tc>
          <w:tcPr/>
          <w:p>
            <w:pPr>
              <w:pStyle w:val="Compact"/>
              <w:jc w:val="left"/>
            </w:pPr>
            <w:r>
              <w:t xml:space="preserve">D</w:t>
            </w:r>
          </w:p>
        </w:tc>
        <w:tc>
          <w:tcPr/>
          <w:p>
            <w:pPr>
              <w:pStyle w:val="Compact"/>
              <w:jc w:val="left"/>
            </w:pPr>
            <w:r>
              <w:t xml:space="preserve">BM_CredentialProcessor_Compromise.pv</w:t>
            </w:r>
          </w:p>
        </w:tc>
        <w:tc>
          <w:tcPr/>
          <w:p>
            <w:pPr>
              <w:pStyle w:val="Compact"/>
              <w:jc w:val="left"/>
            </w:pPr>
            <w:r>
              <w:t xml:space="preserve">Observational equivalence (confirmed)</w:t>
            </w:r>
          </w:p>
        </w:tc>
        <w:tc>
          <w:tcPr/>
          <w:p>
            <w:pPr>
              <w:pStyle w:val="Compact"/>
              <w:jc w:val="left"/>
            </w:pPr>
            <w:r>
              <w:t xml:space="preserve">Credential-processor-compromise resistance: the device token stays unreachable without the validator’s key</w:t>
            </w:r>
          </w:p>
        </w:tc>
      </w:tr>
      <w:tr>
        <w:tc>
          <w:tcPr/>
          <w:p>
            <w:pPr>
              <w:pStyle w:val="Compact"/>
              <w:jc w:val="left"/>
            </w:pPr>
            <w:r>
              <w:t xml:space="preserve">E</w:t>
            </w:r>
          </w:p>
        </w:tc>
        <w:tc>
          <w:tcPr/>
          <w:p>
            <w:pPr>
              <w:pStyle w:val="Compact"/>
              <w:jc w:val="left"/>
            </w:pPr>
            <w:r>
              <w:t xml:space="preserve">BM_Validator_Compromise.pv</w:t>
            </w:r>
          </w:p>
        </w:tc>
        <w:tc>
          <w:tcPr/>
          <w:p>
            <w:pPr>
              <w:pStyle w:val="Compact"/>
              <w:jc w:val="left"/>
            </w:pPr>
            <w:r>
              <w:t xml:space="preserve">Observational equivalence (confirmed)</w:t>
            </w:r>
          </w:p>
        </w:tc>
        <w:tc>
          <w:tcPr/>
          <w:p>
            <w:pPr>
              <w:pStyle w:val="Compact"/>
              <w:jc w:val="left"/>
            </w:pPr>
            <w:r>
              <w:t xml:space="preserve">Validator-compromise resistance: PacketHash stays unreachable without C’s BlindShare_key</w:t>
            </w:r>
          </w:p>
        </w:tc>
      </w:tr>
      <w:tr>
        <w:tc>
          <w:tcPr/>
          <w:p>
            <w:pPr>
              <w:pStyle w:val="Compact"/>
              <w:jc w:val="left"/>
            </w:pPr>
            <w:r>
              <w:t xml:space="preserve">F</w:t>
            </w:r>
          </w:p>
        </w:tc>
        <w:tc>
          <w:tcPr/>
          <w:p>
            <w:pPr>
              <w:pStyle w:val="Compact"/>
              <w:jc w:val="left"/>
            </w:pPr>
            <w:r>
              <w:t xml:space="preserve">BM_ContentServer_Compromise.pv</w:t>
            </w:r>
          </w:p>
        </w:tc>
        <w:tc>
          <w:tcPr/>
          <w:p>
            <w:pPr>
              <w:pStyle w:val="Compact"/>
              <w:jc w:val="left"/>
            </w:pPr>
            <w:r>
              <w:t xml:space="preserve">Observational equivalence (confirmed)</w:t>
            </w:r>
          </w:p>
        </w:tc>
        <w:tc>
          <w:tcPr/>
          <w:p>
            <w:pPr>
              <w:pStyle w:val="Compact"/>
              <w:jc w:val="left"/>
            </w:pPr>
            <w:r>
              <w:t xml:space="preserve">Content-server-compromise resistance: the credential channel, including the device token, never reaches a content-channel server at all</w:t>
            </w:r>
          </w:p>
        </w:tc>
      </w:tr>
      <w:tr>
        <w:tc>
          <w:tcPr/>
          <w:p>
            <w:pPr>
              <w:pStyle w:val="Compact"/>
              <w:jc w:val="left"/>
            </w:pPr>
            <w:r>
              <w:t xml:space="preserve">G</w:t>
            </w:r>
          </w:p>
        </w:tc>
        <w:tc>
          <w:tcPr/>
          <w:p>
            <w:pPr>
              <w:pStyle w:val="Compact"/>
              <w:jc w:val="left"/>
            </w:pPr>
            <w:r>
              <w:t xml:space="preserve">BM_Posting_Forgery.pv</w:t>
            </w:r>
          </w:p>
        </w:tc>
        <w:tc>
          <w:tcPr/>
          <w:p>
            <w:pPr>
              <w:pStyle w:val="Compact"/>
              <w:jc w:val="left"/>
            </w:pPr>
            <w:r>
              <w:t xml:space="preserve">Reachability query (secrecy), confirmed</w:t>
            </w:r>
          </w:p>
        </w:tc>
        <w:tc>
          <w:tcPr/>
          <w:p>
            <w:pPr>
              <w:pStyle w:val="Compact"/>
              <w:jc w:val="left"/>
            </w:pPr>
            <w:r>
              <w:t xml:space="preserve">Posting Forgery Resistance: no party other than the validator can produce a signature the match board accepts</w:t>
            </w:r>
          </w:p>
        </w:tc>
      </w:tr>
      <w:tr>
        <w:tc>
          <w:tcPr/>
          <w:p>
            <w:pPr>
              <w:pStyle w:val="Compact"/>
              <w:jc w:val="left"/>
            </w:pPr>
            <w:r>
              <w:t xml:space="preserve">H</w:t>
            </w:r>
          </w:p>
        </w:tc>
        <w:tc>
          <w:tcPr/>
          <w:p>
            <w:pPr>
              <w:pStyle w:val="Compact"/>
              <w:jc w:val="left"/>
            </w:pPr>
            <w:r>
              <w:t xml:space="preserve">BM_Registry_Convergence.pv</w:t>
            </w:r>
          </w:p>
        </w:tc>
        <w:tc>
          <w:tcPr/>
          <w:p>
            <w:pPr>
              <w:pStyle w:val="Compact"/>
              <w:jc w:val="left"/>
            </w:pPr>
            <w:r>
              <w:t xml:space="preserve">Reachability query (secrecy), confirmed</w:t>
            </w:r>
          </w:p>
        </w:tc>
        <w:tc>
          <w:tcPr/>
          <w:p>
            <w:pPr>
              <w:pStyle w:val="Compact"/>
              <w:jc w:val="left"/>
            </w:pPr>
            <w:r>
              <w:t xml:space="preserve">Registry Write Integrity: no single content-channel server can produce both independently-signed submissions the registry requires</w:t>
            </w:r>
          </w:p>
        </w:tc>
      </w:tr>
      <w:tr>
        <w:tc>
          <w:tcPr/>
          <w:p>
            <w:pPr>
              <w:pStyle w:val="Compact"/>
              <w:jc w:val="left"/>
            </w:pPr>
            <w:r>
              <w:t xml:space="preserve">I</w:t>
            </w:r>
          </w:p>
        </w:tc>
        <w:tc>
          <w:tcPr/>
          <w:p>
            <w:pPr>
              <w:pStyle w:val="Compact"/>
              <w:jc w:val="left"/>
            </w:pPr>
            <w:r>
              <w:t xml:space="preserve">BM_Quorum_Forgery.pv</w:t>
            </w:r>
          </w:p>
        </w:tc>
        <w:tc>
          <w:tcPr/>
          <w:p>
            <w:pPr>
              <w:pStyle w:val="Compact"/>
              <w:jc w:val="left"/>
            </w:pPr>
            <w:r>
              <w:t xml:space="preserve">Correspondence query, confirmed</w:t>
            </w:r>
          </w:p>
        </w:tc>
        <w:tc>
          <w:tcPr/>
          <w:p>
            <w:pPr>
              <w:pStyle w:val="Compact"/>
              <w:jc w:val="left"/>
            </w:pPr>
            <w:r>
              <w:t xml:space="preserve">Quorum Forgery Resistance: one, or even two of three, compromised gatekeepers cannot force a two-of-three match-board quorum without a preceding genuine validator approval</w:t>
            </w:r>
          </w:p>
        </w:tc>
      </w:tr>
      <w:tr>
        <w:tc>
          <w:tcPr/>
          <w:p>
            <w:pPr>
              <w:pStyle w:val="Compact"/>
              <w:jc w:val="left"/>
            </w:pPr>
            <w:r>
              <w:t xml:space="preserve">J</w:t>
            </w:r>
          </w:p>
        </w:tc>
        <w:tc>
          <w:tcPr/>
          <w:p>
            <w:pPr>
              <w:pStyle w:val="Compact"/>
              <w:jc w:val="left"/>
            </w:pPr>
            <w:r>
              <w:t xml:space="preserve">BM_Gatekeeper_Compromise.pv</w:t>
            </w:r>
          </w:p>
        </w:tc>
        <w:tc>
          <w:tcPr/>
          <w:p>
            <w:pPr>
              <w:pStyle w:val="Compact"/>
              <w:jc w:val="left"/>
            </w:pPr>
            <w:r>
              <w:t xml:space="preserve">Observational equivalence (confirmed)</w:t>
            </w:r>
          </w:p>
        </w:tc>
        <w:tc>
          <w:tcPr/>
          <w:p>
            <w:pPr>
              <w:pStyle w:val="Compact"/>
              <w:jc w:val="left"/>
            </w:pPr>
            <w:r>
              <w:t xml:space="preserve">Gatekeeper-compromise resistance: PacketHash, the validator’s signature, BlindShare_key, and C’s ring signature, all held in the clear by one compromised gatekeeper, together yield no device identity</w:t>
            </w:r>
          </w:p>
        </w:tc>
      </w:tr>
    </w:tbl>
    <w:p>
      <w:pPr>
        <w:pStyle w:val="BodyText"/>
      </w:pPr>
      <w:r>
        <w:rPr>
          <w:bCs/>
          <w:b/>
        </w:rPr>
        <w:t xml:space="preserve">A.2 Properties A, B, and C: Baseline Non-Correlation (Executable Proof)</w:t>
      </w:r>
    </w:p>
    <w:p>
      <w:pPr>
        <w:pStyle w:val="BodyText"/>
      </w:pPr>
      <w:r>
        <w:t xml:space="preserve">We model the full architecture with no component compromised: two devices, each with a swapped token and swapped content (device(choice[T1,T2], contentA) | device(choice[T2,T1], contentB)), submitting through the credential processor (C), the validator, all three gatekeepers, the two-of-three quorum, and both content-channel submission servers (F, I) to the registry. This single model establishes all three properties together, rather than splitting them across separate branches: Property A asks whether an observer can determine which device authenticated which content; Property B asks whether a registry observer, seeing only the finalized content hash, can identify the originating device; Property C asks whether a content-channel server, seeing only its own content channel and the quorum’s output, can do the same. Since the model carries every component all the way through to the registry posting, a single equivalence result establishes all three simultaneously: no combination of public outputs, at any stage from the initial submission to the final registry entry, lets an observer link the swapped tokens to their correct content.</w:t>
      </w:r>
    </w:p>
    <w:p>
      <w:pPr>
        <w:pStyle w:val="BodyText"/>
      </w:pPr>
      <w:r>
        <w:t xml:space="preserve">Encryption throughout has to be modeled as probabilistic, not deterministic, or the model would not reflect what it claims to establish. A deterministic encryption function would let the adversary encrypt a candidate PacketHash themselves and check it against a ciphertext on the wire, exactly the attack this construction is meant to prevent, just moved one level down. aenc is accordingly given a third argument for fresh randomness, generated independently for each encryption, the standard way ProVerif models IND-CPA-style public-key encryption.</w:t>
      </w:r>
    </w:p>
    <w:p>
      <w:pPr>
        <w:pStyle w:val="BodyText"/>
      </w:pPr>
      <w:r>
        <w:t xml:space="preserve">The proof obligation is a single equivalence: the two scenarios, one in which the first device authenticates contentA under T1, and one in which it authenticates contentA under T2, must be indistinguishable to any outside observer, with everything else in the model, both contents, both tokens, the gatekeepers, the quorum, the registry, running identically in both worlds except for which token is paired with which content.</w:t>
      </w:r>
    </w:p>
    <w:p>
      <w:pPr>
        <w:pStyle w:val="BodyText"/>
      </w:pPr>
      <w:r>
        <w:t xml:space="preserve">Full source: BM_Baseline_Noncorrelation.pv, available at https://github.com/Birthmark-Standard/Protocol</w:t>
      </w:r>
    </w:p>
    <w:p>
      <w:pPr>
        <w:pStyle w:val="BodyText"/>
      </w:pPr>
      <w:r>
        <w:t xml:space="preserve">ProVerif output: RESULT Observational equivalence is true.</w:t>
      </w:r>
    </w:p>
    <w:p>
      <w:pPr>
        <w:pStyle w:val="BodyText"/>
      </w:pPr>
      <w:r>
        <w:t xml:space="preserve">The model returns equivalence, confirming Properties A, B, and C together as one result: since the same swap is checked against every public output the full architecture produces, from the initial submission through to the finalized registry record, establishing it once establishes all three simultaneously, rather than as three separate confirmations that happen to agree.</w:t>
      </w:r>
    </w:p>
    <w:p>
      <w:pPr>
        <w:pStyle w:val="BodyText"/>
      </w:pPr>
      <w:r>
        <w:rPr>
          <w:bCs/>
          <w:b/>
        </w:rPr>
        <w:t xml:space="preserve">A.3 Single-Component Compromise Resistance: Properties D, E, F, and J</w:t>
      </w:r>
    </w:p>
    <w:p>
      <w:pPr>
        <w:pStyle w:val="BodyText"/>
      </w:pPr>
      <w:r>
        <w:t xml:space="preserve">Section 4.6 states that no single component’s compromise (C, the credential validator, a content-channel server, or a gatekeeper) is sufficient for correlation. Four models test this directly, one per component, each leaking that component’s key while the other three stay private. Tokens (T1, T2) are kept private throughout, so the only route to distinguishing which device produced which content is through the leaked component itself; a public token would let the adversary recognize a device directly, a shortcut that would say nothing about whether the token’s own encryption is protecting it.</w:t>
      </w:r>
    </w:p>
    <w:p>
      <w:pPr>
        <w:pStyle w:val="BodyText"/>
      </w:pPr>
      <w:r>
        <w:rPr>
          <w:bCs/>
          <w:b/>
        </w:rPr>
        <w:t xml:space="preserve">Property D (credential processor). </w:t>
      </w:r>
      <w:r>
        <w:t xml:space="preserve">c_device_sk is leaked; v_token_sk stays private. C holds PacketHash in the clear but never the device token in readable form, since it never holds v_token_sk. The C-to-validator round trip (BlindShare_key, the signature exchange) is omitted from this model: it doesn’t change what C can extract from the token either way, since that round trip only ever touches the already-opaque wrapped PacketHash, never the token.</w:t>
      </w:r>
    </w:p>
    <w:p>
      <w:pPr>
        <w:pStyle w:val="BodyText"/>
      </w:pPr>
      <w:r>
        <w:t xml:space="preserve">Full source: BM_CredentialProcessor_Compromise.pv, available at https://github.com/Birthmark-Standard/Protocol</w:t>
      </w:r>
    </w:p>
    <w:p>
      <w:pPr>
        <w:pStyle w:val="BodyText"/>
      </w:pPr>
      <w:r>
        <w:t xml:space="preserve">ProVerif output: RESULT Observational equivalence is true.</w:t>
      </w:r>
    </w:p>
    <w:p>
      <w:pPr>
        <w:pStyle w:val="BodyText"/>
      </w:pPr>
      <w:r>
        <w:rPr>
          <w:bCs/>
          <w:b/>
        </w:rPr>
        <w:t xml:space="preserve">Property E (credential validator). </w:t>
      </w:r>
      <w:r>
        <w:t xml:space="preserve">v_token_sk and v_sign_sk are both leaked together, representing full compromise of the validator rather than one isolated key; c_device_sk stays private. PacketHash reaches the validator only wrapped under BlindShare_key, a value C generates fresh per transaction and never shares, so decrypting the now-readable token gives the validator a device identity with nothing to check it against, and forging its own approval signature over an arbitrary wrapped value does not help, since that value still opens only with BlindShare_key.</w:t>
      </w:r>
    </w:p>
    <w:p>
      <w:pPr>
        <w:pStyle w:val="BodyText"/>
      </w:pPr>
      <w:r>
        <w:t xml:space="preserve">Full source: BM_Validator_Compromise.pv, available at https://github.com/Birthmark-Standard/Protocol</w:t>
      </w:r>
    </w:p>
    <w:p>
      <w:pPr>
        <w:pStyle w:val="BodyText"/>
      </w:pPr>
      <w:r>
        <w:t xml:space="preserve">ProVerif output: RESULT Observational equivalence is true.</w:t>
      </w:r>
    </w:p>
    <w:p>
      <w:pPr>
        <w:pStyle w:val="BodyText"/>
      </w:pPr>
      <w:r>
        <w:rPr>
          <w:bCs/>
          <w:b/>
        </w:rPr>
        <w:t xml:space="preserve">Property F (content-channel server). </w:t>
      </w:r>
      <w:r>
        <w:t xml:space="preserve">f_device_sk is leaked; v_token_sk and c_device_sk both stay private. The credential channel, including the device token, never reaches a content-channel server at all, so this model omits C and the validator entirely: neither is reachable from this compromise.</w:t>
      </w:r>
    </w:p>
    <w:p>
      <w:pPr>
        <w:pStyle w:val="BodyText"/>
      </w:pPr>
      <w:r>
        <w:t xml:space="preserve">Full source: BM_ContentServer_Compromise.pv, available at https://github.com/Birthmark-Standard/Protocol</w:t>
      </w:r>
    </w:p>
    <w:p>
      <w:pPr>
        <w:pStyle w:val="BodyText"/>
      </w:pPr>
      <w:r>
        <w:t xml:space="preserve">ProVerif output: RESULT Observational equivalence is true.</w:t>
      </w:r>
    </w:p>
    <w:p>
      <w:pPr>
        <w:pStyle w:val="BodyText"/>
      </w:pPr>
      <w:r>
        <w:rPr>
          <w:bCs/>
          <w:b/>
        </w:rPr>
        <w:t xml:space="preserve">Property J (gatekeeper). </w:t>
      </w:r>
      <w:r>
        <w:t xml:space="preserve">g1_sk and g1_sign_sk are both leaked, giving the adversary a gatekeeper’s own relay-terminus and countersignature keys together; v_token_sk, v_sign_sk, and c_device_sk all stay private. A compromised gatekeeper holds PacketHash, the validator’s signature, BlindShare_key, and C’s ring signature in the clear, exactly as it would legitimately, but the device token never reaches it at all, since the credential channel terminates at C, not at any gatekeeper. C’s signature is modeled as an ordinary signature rather than the ring construction Section 3.3 specifies; the ring signature’s own unlinkability is an empirical claim tested separately (Appendix D), and this model asks a different, orthogonal question, whether the gatekeeper’s own compromise yields correlation independent of whichever scheme protects C’s identity.</w:t>
      </w:r>
    </w:p>
    <w:p>
      <w:pPr>
        <w:pStyle w:val="BodyText"/>
      </w:pPr>
      <w:r>
        <w:t xml:space="preserve">Full source: BM_Gatekeeper_Compromise.pv, available at https://github.com/Birthmark-Standard/Protocol</w:t>
      </w:r>
    </w:p>
    <w:p>
      <w:pPr>
        <w:pStyle w:val="BodyText"/>
      </w:pPr>
      <w:r>
        <w:t xml:space="preserve">ProVerif output: RESULT Observational equivalence is true.</w:t>
      </w:r>
    </w:p>
    <w:p>
      <w:pPr>
        <w:pStyle w:val="BodyText"/>
      </w:pPr>
      <w:r>
        <w:t xml:space="preserve">All four hold: observational equivalence confirms that leaking any one component’s key, with the others withheld, gives a Dolev-Yao adversary no way to link a device to content. This confirms Section 4.6’s claim down to its individual pieces: C’s visibility into PacketHash, the validator’s visibility into the token, a content-channel server’s visibility into ContentHash and the nonce, and a gatekeeper’s visibility into PacketHash and both signatures, each independently, are attribution-surface fragments only.</w:t>
      </w:r>
    </w:p>
    <w:p>
      <w:pPr>
        <w:pStyle w:val="BodyText"/>
      </w:pPr>
      <w:r>
        <w:rPr>
          <w:bCs/>
          <w:b/>
        </w:rPr>
        <w:t xml:space="preserve">A.4 Posting and Registry Integrity: Properties G, H, and I</w:t>
      </w:r>
    </w:p>
    <w:p>
      <w:pPr>
        <w:pStyle w:val="BodyText"/>
      </w:pPr>
      <w:r>
        <w:t xml:space="preserve">Three further properties confirm that posting integrity, not privacy, resists single-party forgery. Properties G and H are checked via a secrecy query (can a party lacking the relevant key ever derive it) rather than an observational equivalence check, since these support G1 (Section 4.2), not G2. Property I is checked via a correspondence query instead, since its claim concerns a sequence of events, quorum reached only after genuine approval, rather than a single key’s secrecy. None of the three is part of the compromise analysis in Table 3, which is scoped to correlation specifically, not to posting integrity.</w:t>
      </w:r>
    </w:p>
    <w:p>
      <w:pPr>
        <w:pStyle w:val="BodyText"/>
      </w:pPr>
      <w:r>
        <w:rPr>
          <w:bCs/>
          <w:b/>
        </w:rPr>
        <w:t xml:space="preserve">Property G (match board signature). </w:t>
      </w:r>
      <w:r>
        <w:t xml:space="preserve">Section 3.3 requires a valid validator signature before any gatekeeper will post a PacketHash to its board, which makes single-server forgery infeasible even though PacketHash itself is a publicly computable hash. That claim rests entirely on one fact, that the validator’s signing key never becomes available to anyone else; the query asks whether the attacker can ever derive V-sign_sk.</w:t>
      </w:r>
    </w:p>
    <w:p>
      <w:pPr>
        <w:pStyle w:val="BodyText"/>
      </w:pPr>
      <w:r>
        <w:t xml:space="preserve">Full source: BM_Posting_Forgery.pv, available at https://github.com/Birthmark-Standard/Protocol</w:t>
      </w:r>
    </w:p>
    <w:p>
      <w:pPr>
        <w:pStyle w:val="BodyText"/>
      </w:pPr>
      <w:r>
        <w:t xml:space="preserve">ProVerif output: Query not attacker(v_sign_sk[]) is true.</w:t>
      </w:r>
    </w:p>
    <w:p>
      <w:pPr>
        <w:pStyle w:val="BodyText"/>
      </w:pPr>
      <w:r>
        <w:rPr>
          <w:bCs/>
          <w:b/>
        </w:rPr>
        <w:t xml:space="preserve">Property H (registry write). </w:t>
      </w:r>
      <w:r>
        <w:t xml:space="preserve">Section 3.3 requires two independently-submitted entries, signed by two distinct content-channel server identities, agreeing on the same ContentHash before the registry finalizes a record: each server signs with a registry-signing key held only for this purpose, separate from the relay-terminus key that decrypted its own content channel (f_id_sk for one, i_id_sk for the other). f_id_sk is leaked, representing full compromise of one server’s signing capability; i_id_sk stays private. The query asks whether the attacker, holding only the first key, can ever derive the second.</w:t>
      </w:r>
    </w:p>
    <w:p>
      <w:pPr>
        <w:pStyle w:val="BodyText"/>
      </w:pPr>
      <w:r>
        <w:t xml:space="preserve">Full source: BM_Registry_Convergence.pv, available at https://github.com/Birthmark-Standard/Protocol</w:t>
      </w:r>
    </w:p>
    <w:p>
      <w:pPr>
        <w:pStyle w:val="BodyText"/>
      </w:pPr>
      <w:r>
        <w:t xml:space="preserve">ProVerif output: Query not attacker(i_id_sk[]) is true.</w:t>
      </w:r>
    </w:p>
    <w:p>
      <w:pPr>
        <w:pStyle w:val="BodyText"/>
      </w:pPr>
      <w:r>
        <w:rPr>
          <w:bCs/>
          <w:b/>
        </w:rPr>
        <w:t xml:space="preserve">Property I (quorum forgery resistance). </w:t>
      </w:r>
      <w:r>
        <w:t xml:space="preserve">Section 3.3 requires a candidate PacketHash to appear on at least two of three independent match boards, each backed by both the credential processor’s (C) signature and that board’s own gatekeeper countersignature, before a content-channel server proceeds. Two models test this against increasingly strong compromise. The first asks whether one compromised gatekeeper, with its board fully attacker-controlled (both its terminus key and its own signing key), can force this two-of-three quorum for a PacketHash the validator never approved. The second asks the same question with two of the three gatekeepers fully compromised, since two boards already satisfy the quorum’s arithmetic on their own. In both, the remaining honest gatekeeper or gatekeepers post to their own board only after independently verifying both the validator’s signature (via the BlindShare_key pairing) and C’s signature over the same PacketHash. The query asks whether reaching quorum ever happens without a preceding genuine validator approval for that same value.</w:t>
      </w:r>
    </w:p>
    <w:p>
      <w:pPr>
        <w:pStyle w:val="BodyText"/>
      </w:pPr>
      <w:r>
        <w:t xml:space="preserve">Full source: BM_Quorum_Forgery.pv, available at https://github.com/Birthmark-Standard/Protocol</w:t>
      </w:r>
    </w:p>
    <w:p>
      <w:pPr>
        <w:pStyle w:val="BodyText"/>
      </w:pPr>
      <w:r>
        <w:t xml:space="preserve">ProVerif output: Query event(quorum_reached(p)) ==&gt; event(validator_approved(p)) is true.</w:t>
      </w:r>
    </w:p>
    <w:p>
      <w:pPr>
        <w:pStyle w:val="BodyText"/>
      </w:pPr>
      <w:r>
        <w:t xml:space="preserve">Full source: BM_Quorum_Collusion.pv, available at https://github.com/Birthmark-Standard/Protocol</w:t>
      </w:r>
    </w:p>
    <w:p>
      <w:pPr>
        <w:pStyle w:val="BodyText"/>
      </w:pPr>
      <w:r>
        <w:t xml:space="preserve">ProVerif output: Query event(quorum_reached(p)) ==&gt; event(validator_approved(p)) is true.</w:t>
      </w:r>
    </w:p>
    <w:p>
      <w:pPr>
        <w:pStyle w:val="BodyText"/>
      </w:pPr>
      <w:r>
        <w:t xml:space="preserve">Both keys stay undetermined under repeated, replicated use: the validator process is unboundedly replicated, modeling arbitrarily many signing operations, and a single compromised content-channel server, however fully controlled, can still produce only its own signature. The quorum result holds at both compromise strengths tested: even with two of three gatekeepers fully compromised, satisfying the quorum’s arithmetic is trivial, but neither can produce a valid C-signature over a PacketHash C never approved, so quorum without approval never occurs. Property H’s result depends on signature-based server identity actually being the registry’s verification mechanism; if a future revision authenticates submissions some other way, this model would need to be re-derived under that mechanism.</w:t>
      </w:r>
    </w:p>
    <w:p>
      <w:pPr>
        <w:pStyle w:val="BodyText"/>
      </w:pPr>
      <w:r>
        <w:rPr>
          <w:bCs/>
          <w:b/>
        </w:rPr>
        <w:t xml:space="preserve">A.5 Scope, Limitations, and Computational Soundness</w:t>
      </w:r>
    </w:p>
    <w:p>
      <w:pPr>
        <w:pStyle w:val="BodyText"/>
      </w:pPr>
      <w:r>
        <w:t xml:space="preserve">The symbolic model treats AES-256, SHA-256, and the signature schemes as perfect (Dolev-Yao) and abstracts C’s ring signature as an ordinary signature (Appendix A.3); the ring signature’s unlinkability is evaluated empirically in Appendix D. Computational-soundness results such as Abadi and Rogaway [9] cover restricted classes of symbolic models (passive adversaries, encryption only) and are not claimed to transfer to this model, so the verified properties are symbolic guarantees. The model’s aenc/adec primitives represent the reference instantiation’s use of ECIES (IND-CCA2) for credential encryption; a computational security proof is outside this paper’s scope.</w:t>
      </w:r>
    </w:p>
    <w:p>
      <w:pPr>
        <w:pStyle w:val="BodyText"/>
      </w:pPr>
      <w:r>
        <w:t xml:space="preserve">Outside the current formal guarantees: (1) cryptographic hardness by reduction; (2) physical realization variables under the symbolic model (side-channel attacks, power analysis, and timing leakage in the A_HW class) are treated as out-of-scope physical implementation concerns under standard symbolic cryptographic assumptions, not as properties of the protocol; (3) traffic analysis and timing correlation against an adversary holding no keys, addressed empirically in Appendix D.2, and the same question against a single compromised component (properties D through F assume no timing capability; A_PRIV grants both together), addressed empirically in Appendix D.3–D.5; (4) governance compromise and legal compulsion; (5) blockchain consensus and liveness; (6) key management correctness; (7) implementation bugs; (8) network-layer identity exposure (source IP address) is not represented in the symbolic model at all, since the model’s channels abstract away network topology entirely; G6’s relay requirement (Section 4.2) is the architectural answer to this, reasoned informally in the same way disjoint delivery itself was before it was stated as a requirement; it is not, and cannot be, verified by this model, though Appendix D.2 tests a related empirical question, whether the relay’s timing defense still holds when a device’s network address is already known; (9) the duplicate-collapse write rule (Section 3.3) is a database invariant, not an adversarial protocol property, and is not amenable to symbolic verification; it is audited operationally instead. Temporal ordering guarantees are documented in [4].</w:t>
      </w:r>
    </w:p>
    <w:p>
      <w:pPr>
        <w:pStyle w:val="BodyText"/>
      </w:pPr>
      <w:r>
        <w:rPr>
          <w:bCs/>
          <w:b/>
        </w:rPr>
        <w:t xml:space="preserve">APPENDIX B: DEVICE-SIDE COMPUTATIONAL TIMING (ESTIMATED FROM PUBLISHED BENCHMARKS)</w:t>
      </w:r>
    </w:p>
    <w:p>
      <w:pPr>
        <w:pStyle w:val="BodyText"/>
      </w:pPr>
      <w:r>
        <w:t xml:space="preserve">This paper’s device-side timing claim (Section 5, 6.1) rests on published benchmarks for standard, non-novel cryptographic primitives, not on fresh measurement of a specific prototype; no timing instrumentation has been run on this architecture’s own implementation. The estimate is built as follows.</w:t>
      </w:r>
    </w:p>
    <w:p>
      <w:pPr>
        <w:pStyle w:val="BodyText"/>
      </w:pPr>
      <w:r>
        <w:t xml:space="preserve">Seven ECIES encryption operations are required per capture, each requiring two elliptic-curve scalar multiplications (fixed-base and variable-base) for fourteen total: one to encapsulate the device token under V-token_pk; one to encapsulate the credential bundle (the encrypted token plus PacketHash in the clear) under C’s relay-terminus key; two more to encapsulate the content channel under each of the two content-channel submission servers’ relay-terminus keys independently; and three further wraps, one per channel, for delivery to each channel’s first relay hop (Section 3.2), an unavoidable cost of the relay layer that a direct-delivery count would omit. Bernstein and Schwabe [18] report 527,102 cycles (1,517 operations/second) for this exact operation, an ECDH-style key agreement, on a single 800MHz ARM Cortex-A8 core, the slowest, oldest hardware class this paper’s “commodity embedded processors” claim is meant to cover. That figure gives 0.659ms per operation, roughly 4.6ms for all seven. Symmetric authenticated encryption of the credential bundle (AES-256-GCM) operates on inputs of a few hundred bytes at most, and published NEON-optimized throughput on the same hardware class (5.60 cycles per byte) puts this at a small fraction of a millisecond, negligible next to the ECC cost. BlindShare_key generation, a symmetric key generated fresh per transaction by C rather than the device, adds no device-side cost.</w:t>
      </w:r>
    </w:p>
    <w:p>
      <w:pPr>
        <w:pStyle w:val="BodyText"/>
      </w:pPr>
      <w:r>
        <w:t xml:space="preserve">Hashing the media content to produce ContentHash is a separate, substantially larger cost, since it operates on the full raw image rather than a small value, and does not belong in the same category as the key-encapsulation operations above. eBACS [19] reports SHA-256 throughput of approximately 13.7 cycles/byte for long messages on this same Cortex-A8 hardware class, software-only, no hardware acceleration. A representative RAW file, roughly 25–35MB for a 24-megapixel sensor and larger for higher resolutions, yields an estimated 430–600ms on this conservative baseline; hardware-accelerated SHA (ARMv8 crypto extensions, roughly 3.6x faster on comparable hardware) brings this down to roughly 120–170ms, still not negligible. This dominates the device-side timing budget; the ECC and symmetric operations above are a small fraction of the total by comparison.</w:t>
      </w:r>
    </w:p>
    <w:p>
      <w:pPr>
        <w:pStyle w:val="BodyText"/>
      </w:pPr>
      <w:r>
        <w:t xml:space="preserve">Total estimated device-side cryptographic overhead: the seven key-encapsulation operations and the credential bundle’s symmetric encryption remain on the order of 4.6–5ms; hashing the media content itself adds substantially more, on the order of hundreds of milliseconds, and scales with file size and hardware acceleration in ways this estimate cannot pin down precisely without a specific target device. The 2–10ms range stated elsewhere in this paper (Section 6.1) covers only the key-encapsulation and symmetric operations on small values; it does not include, and should not be read as including, the cost of hashing the media itself.</w:t>
      </w:r>
    </w:p>
    <w:p>
      <w:pPr>
        <w:pStyle w:val="BodyText"/>
      </w:pPr>
      <w:r>
        <w:t xml:space="preserve">This estimate does not cover the validator’s signing operation described in Section 3.3, which is incurred at the validator, not on the capture device.</w:t>
      </w:r>
    </w:p>
    <w:p>
      <w:pPr>
        <w:pStyle w:val="BodyText"/>
      </w:pPr>
      <w:r>
        <w:rPr>
          <w:bCs/>
          <w:b/>
        </w:rPr>
        <w:t xml:space="preserve">APPENDIX C: REFERENCE DEPLOYMENT GOVERNANCE MODEL (PROPOSED)</w:t>
      </w:r>
    </w:p>
    <w:p>
      <w:pPr>
        <w:pStyle w:val="BodyText"/>
      </w:pPr>
      <w:r>
        <w:t xml:space="preserve">This appendix details a proposed governance structure for the reference deployment, drawn from the Birthmark Media Registry Governance Charter; nothing here is formally verified, and it should be read at the same level of confidence as Section 5’s other deployment-specific commitments.</w:t>
      </w:r>
    </w:p>
    <w:p>
      <w:pPr>
        <w:pStyle w:val="BodyText"/>
      </w:pPr>
      <w:r>
        <w:rPr>
          <w:bCs/>
          <w:b/>
        </w:rPr>
        <w:t xml:space="preserve">Roles.</w:t>
      </w:r>
      <w:r>
        <w:t xml:space="preserve"> Credential validators (camera manufacturers, application developers) participate as integrators; there is no admission process, since they are the system’s customers, not Coalition members. Submission server operators are Coalition Members: eligible organizations in journalism, fact-checking, press freedom, or information integrity, explicitly excluding media-production organizations for conflict of interest, consistent with Section 6.2. Each Coalition Member owns one or more node slots, conferring both submission-server operating rights and Registry Node operation.</w:t>
      </w:r>
    </w:p>
    <w:p>
      <w:pPr>
        <w:pStyle w:val="BodyText"/>
      </w:pPr>
      <w:r>
        <w:rPr>
          <w:bCs/>
          <w:b/>
        </w:rPr>
        <w:t xml:space="preserve">Ownership limits.</w:t>
      </w:r>
      <w:r>
        <w:t xml:space="preserve"> No single organization may hold more than 2 nodes or 10% of total nodes, whichever is higher; related organizations count as one entity for this purpose.</w:t>
      </w:r>
    </w:p>
    <w:p>
      <w:pPr>
        <w:pStyle w:val="BodyText"/>
      </w:pPr>
      <w:r>
        <w:rPr>
          <w:bCs/>
          <w:b/>
        </w:rPr>
        <w:t xml:space="preserve">Consensus.</w:t>
      </w:r>
      <w:r>
        <w:t xml:space="preserve"> GRANDPA finalization, 67% agreement threshold, consistent with the 2:1 honest-to-compromised ratio already assumed in Section 6.2.</w:t>
      </w:r>
    </w:p>
    <w:p>
      <w:pPr>
        <w:pStyle w:val="BodyText"/>
      </w:pPr>
      <w:r>
        <w:rPr>
          <w:bCs/>
          <w:b/>
        </w:rPr>
        <w:t xml:space="preserve">Admission and major decisions.</w:t>
      </w:r>
      <w:r>
        <w:t xml:space="preserve"> A 67% supermajority vote governs new-member admission, removal, charter amendments, and protocol upgrades; standard operational matters pass by simple majority; quorum requires participation from more than 50% of nodes.</w:t>
      </w:r>
    </w:p>
    <w:p>
      <w:pPr>
        <w:pStyle w:val="BodyText"/>
      </w:pPr>
      <w:r>
        <w:rPr>
          <w:bCs/>
          <w:b/>
        </w:rPr>
        <w:t xml:space="preserve">Phased rollout.</w:t>
      </w:r>
      <w:r>
        <w:t xml:space="preserve"> A foundation-operated development phase builds and validates infrastructure; production governance begins once 10 nodes are functionally live, with full Coalition voting authority transferring one year after the first node sale.</w:t>
      </w:r>
    </w:p>
    <w:p>
      <w:pPr>
        <w:pStyle w:val="BodyText"/>
      </w:pPr>
      <w:r>
        <w:rPr>
          <w:bCs/>
          <w:b/>
        </w:rPr>
        <w:t xml:space="preserve">Removal.</w:t>
      </w:r>
      <w:r>
        <w:t xml:space="preserve"> A 30-day notice and cure period, a formal proposal, a 14-day response window for the accused member, then a 67% vote; legal compulsion to violate the charter triggers mandatory removal, consistent with Section 6.2. A removed member may request independent third-party review within 30 days.</w:t>
      </w:r>
    </w:p>
    <w:p>
      <w:pPr>
        <w:pStyle w:val="BodyText"/>
      </w:pPr>
      <w:r>
        <w:rPr>
          <w:bCs/>
          <w:b/>
        </w:rPr>
        <w:t xml:space="preserve">Foundation reserve.</w:t>
      </w:r>
      <w:r>
        <w:t xml:space="preserve"> Up to 10 foundation-operated backup nodes, carrying no voting rights, with an explicit target of zero foundation-owned nodes long-term.</w:t>
      </w:r>
    </w:p>
    <w:p>
      <w:pPr>
        <w:pStyle w:val="BodyText"/>
      </w:pPr>
      <w:r>
        <w:rPr>
          <w:bCs/>
          <w:b/>
        </w:rPr>
        <w:t xml:space="preserve">Manufacturer key rotation and revocation.</w:t>
      </w:r>
      <w:r>
        <w:t xml:space="preserve"> Manufacturer keys (V-token_pk/V-token_sk, and separately V-sign_pk/V-sign_sk) are manufacturer-controlled, not consortium-issued, consistent with credential validators operating outside consortium governance (Section 6.2). A registry of currently-valid manufacturer public keys, maintained alongside the schema-attestation mechanism (Section 6.2), lets submission servers and gatekeepers reject signatures from a revoked key going forward, identifying the correct key to check via the manufacturer-key identifier described in Section 3.3. A compromised or rotated key does not retroactively invalidate past registry entries, since past authentications do not depend on the current validity of the key that produced them, and a later key compromise does not itself enable correlation of past submissions (Property E, Appendix A.3). If a manufacturer ceases operating its validator entirely, devices it registered can no longer produce new authenticated submissions (Section 6.3).</w:t>
      </w:r>
    </w:p>
    <w:p>
      <w:pPr>
        <w:pStyle w:val="BodyText"/>
      </w:pPr>
      <w:r>
        <w:rPr>
          <w:bCs/>
          <w:b/>
        </w:rPr>
        <w:t xml:space="preserve">Manufacturer schema attestation.</w:t>
      </w:r>
      <w:r>
        <w:t xml:space="preserve"> Before connecting to the consortium network, a credential validator operator’s manufacturing database is audited by an independent party who directly inspects the schema to confirm it supports only membership queries, with no device-identifier-to-token mapping present. The auditor and manufacturer co-sign the schema attestation, which is posted to the Birthmark Registry. The attestation is immutable; any later audit triggered by suspicion can compare the current schema against the committed record. Discrepancy is provably post-certification, establishing clear accountability without requiring recurring audit structure. This mechanism is a hardening example for the audited constraint preservation model described in Section 6.2; the architecture does not prescribe it as the only compliant approach.</w:t>
      </w:r>
    </w:p>
    <w:p>
      <w:pPr>
        <w:pStyle w:val="BodyText"/>
      </w:pPr>
      <w:r>
        <w:rPr>
          <w:bCs/>
          <w:b/>
        </w:rPr>
        <w:t xml:space="preserve">APPENDIX D: EMPIRICAL EVALUATION</w:t>
      </w:r>
    </w:p>
    <w:p>
      <w:pPr>
        <w:pStyle w:val="BodyText"/>
      </w:pPr>
      <w:r>
        <w:rPr>
          <w:bCs/>
          <w:b/>
        </w:rPr>
        <w:t xml:space="preserve">D.1 Overview</w:t>
      </w:r>
    </w:p>
    <w:p>
      <w:pPr>
        <w:pStyle w:val="BodyText"/>
      </w:pPr>
      <w:r>
        <w:t xml:space="preserve">This appendix reports two empirical evaluations of questions the formal properties in Appendix A cannot address on their own, since the symbolic model underlying them has no notion of timing or packet size. D.2 evaluates a passive network observer holding no cryptographic keys at all. D.3 through D.5 evaluate a different adversary: a single compromised network element, holding its own real keys up to A_PRIV’s threshold and A_PRIV’s network-monitoring capability at the same time, exactly as A_PRIV specifies them granted together. Properties D, E, F, and J establish that this compromised party cannot cryptographically decrypt or correlate device and content; neither they nor D.2 alone address what the same party gains once timing is added. Both evaluations share one simulated network, built in Python, implementing every leg the architecture produces: the credential relay, both content relays, the credential-processor-to-validator round trip, the gatekeeper fan-out, and the registry submission. Timing runs in virtual time. Packet sizes and record structure come from real TLS 1.3 and DNS traffic, generated offline from diverse measured samples rather than one fixed example, so that byte-level realism does not depend on running a live handshake per simulated packet.</w:t>
      </w:r>
    </w:p>
    <w:p>
      <w:pPr>
        <w:pStyle w:val="BodyText"/>
      </w:pPr>
      <w:r>
        <w:rPr>
          <w:bCs/>
          <w:b/>
        </w:rPr>
        <w:t xml:space="preserve">D.2 Outside Observer</w:t>
      </w:r>
    </w:p>
    <w:p>
      <w:pPr>
        <w:pStyle w:val="BodyText"/>
      </w:pPr>
      <w:r>
        <w:t xml:space="preserve">A passive network observer holding no cryptographic keys was tested against G6’s timing and padding measures across 15 settings (L = 4 to 40 transactions in flight at once, so the chance baseline is 1/L), 200 runs per setting. Neither a chain-reconstruction attack nor an independently designed sequencing attack beat the 1/L baseline at any tested setting, nor did two bounds granting the observer capability well beyond a real observer’s (true terminal-arrival labels, perfect chain reconstruction, both handed to it directly). A sanity check with the timing lottery disabled confirms the attack machinery itself works, pairing 99.2% of submissions, which is what keeps the low measured accuracy meaningful rather than an artifact of an inert attack.</w:t>
      </w:r>
    </w:p>
    <w:p>
      <w:pPr>
        <w:pStyle w:val="BodyText"/>
      </w:pPr>
      <w:r>
        <w:t xml:space="preserve">The sequencing attack, though under 1/L, was not zero, and is reported rather than omitted: a weak but real signal, three to six times above true chance. It traced to the credential processor’s validator round trip firing immediately, with no timing hold of its own. A hold there, counterintuitively, made the signal worse rather than better, since delaying the credential side let content arrive first and tightened the timing relationship the attack depended on; a hold on the two content-channel servers before they post narrowed the signal 35 to 43 percent instead, and is the adopted configuration.</w:t>
      </w:r>
    </w:p>
    <w:p>
      <w:pPr>
        <w:pStyle w:val="BodyText"/>
      </w:pPr>
      <w:r>
        <w:t xml:space="preserve">A related question, whether the relay’s own timing defense still protects the device-content link when a device’s network address is already known (Appendix A.5), was tested separately: tracing directly from a device’s first hop to its content-channel terminal, skipping the credential chain entirely, succeeds at only 0.05 to 0.11 percent.</w:t>
      </w:r>
    </w:p>
    <w:p>
      <w:pPr>
        <w:pStyle w:val="BodyText"/>
      </w:pPr>
      <w:r>
        <w:t xml:space="preserve">Full methodology, the timing mechanism’s clock-independence requirements, the complete sweep, and per-setting data are maintained in this paper’s companion repository (GPAExperiment/level3/).</w:t>
      </w:r>
    </w:p>
    <w:p>
      <w:pPr>
        <w:pStyle w:val="BodyText"/>
      </w:pPr>
      <w:r>
        <w:rPr>
          <w:bCs/>
          <w:b/>
        </w:rPr>
        <w:t xml:space="preserve">D.3 Insider Compromise: The First Finding, Identity Disclosure</w:t>
      </w:r>
    </w:p>
    <w:p>
      <w:pPr>
        <w:pStyle w:val="BodyText"/>
      </w:pPr>
      <w:r>
        <w:t xml:space="preserve">The second evaluation reuses the same simulator, timing mechanics, and success criteria as D.2. The only addition is the compromised node’s own exact, zero-noise knowledge of its own events (its own detection ticks, its own sent or received legs), replacing inferred network observation for those specific events. The compromised node holds no other party’s keys and learns no device network address.</w:t>
      </w:r>
    </w:p>
    <w:p>
      <w:pPr>
        <w:pStyle w:val="BodyText"/>
      </w:pPr>
      <w:r>
        <w:t xml:space="preserve">Before mitigation, a compromised content-channel submission server (F or I) links its own content to the credential transaction that produced it confidently and far above 1/L: 85.6% at the smallest tested anonymity set down to 32.6% at the largest, with every top-decile prediction correct at the smallest settings. A compromised credential processor (C) does not share this weakness and stays below 1/L at every setting tested; nothing on the content side discloses an identity to C the way C’s own signature discloses an identity to F or I, a structural asymmetry rather than an incidental one.</w:t>
      </w:r>
    </w:p>
    <w:p>
      <w:pPr>
        <w:pStyle w:val="BodyText"/>
      </w:pPr>
      <w:r>
        <w:t xml:space="preserve">The mechanism is what Section 3.3 required before this finding: a gatekeeper verifies C’s signature directly against C’s own public key to confirm genuine approval, which necessarily reveals which node acted as C to that gatekeeper, and, once posted, to any content-channel server later reading the board record. Identity alone, with no timing involved, already scores far above chance; a compromised node’s own exact timing knowledge then multiplies that further.</w:t>
      </w:r>
    </w:p>
    <w:p>
      <w:pPr>
        <w:pStyle w:val="BodyText"/>
      </w:pPr>
      <w:r>
        <w:t xml:space="preserve">A correct pairing does not disclose a device identity. It discloses which validator authenticated the device behind a given content submission, since validators are the manufacturers (Section 6.2), not which specific device. The device token remains encrypted throughout; only the validator holds the key to open it (Section 3.2). Recovering an actual device identity still requires compromising the validator together with C (for the token), or the validator together with any one gatekeeper (via EncPH, which both hold), or a device’s first two relay hops together (for its network address), none of which this finding grants on its own.</w:t>
      </w:r>
    </w:p>
    <w:p>
      <w:pPr>
        <w:pStyle w:val="BodyText"/>
      </w:pPr>
      <w:r>
        <w:rPr>
          <w:bCs/>
          <w:b/>
        </w:rPr>
        <w:t xml:space="preserve">D.4 Insider Compromise: The Fix, and a Residual</w:t>
      </w:r>
    </w:p>
    <w:p>
      <w:pPr>
        <w:pStyle w:val="BodyText"/>
      </w:pPr>
      <w:r>
        <w:t xml:space="preserve">An unlinkable ring signature over C’s eligible candidate pool, in place of a signature checked against a single identifiable key (Section 3.3), closes identity disclosure completely: guessing among candidates using signature identity alone falls from above 28% to under 2% at the smallest tested setting, well below 1/L. The mitigation does exactly what it was built to do.</w:t>
      </w:r>
    </w:p>
    <w:p>
      <w:pPr>
        <w:pStyle w:val="BodyText"/>
      </w:pPr>
      <w:r>
        <w:t xml:space="preserve">It does not, by itself, close the pairing. A compromised F or I still links its content above 1/L at every tested setting (24.2% down to 3.1%), through a different mechanism the ring signature was never positioned to touch: every C sends its gatekeeper fan-out to the same three active gatekeepers, and each leg carries C as its network-layer sender regardless of what the signature it carries protects. A compromised node’s own exact quorum-detection timing lets it search every possible sender for the one whose fan-out timing matches, recovering C by timing instead of by signature. A positive control with the timing mechanism disabled entirely confirms this is a working technique, pinning over 90% of pairings with the ring signature fully in place.</w:t>
      </w:r>
    </w:p>
    <w:p>
      <w:pPr>
        <w:pStyle w:val="BodyText"/>
      </w:pPr>
      <w:r>
        <w:rPr>
          <w:bCs/>
          <w:b/>
        </w:rPr>
        <w:t xml:space="preserve">D.5 Insider Compromise: Closing the Residual</w:t>
      </w:r>
    </w:p>
    <w:p>
      <w:pPr>
        <w:pStyle w:val="BodyText"/>
      </w:pPr>
      <w:r>
        <w:t xml:space="preserve">Adding a randomized timing hold at each gatekeeper’s own countersign-and-post step (Section 3.3), independent of the fan-out staggering on C’s side and independent across the three gatekeepers, closes the remaining pathway. Every scenario, every tested setting, now stays below 1/L: 6.3–6.6% at the smallest setting down to 1.2–1.4% at the largest. Full accuracy minus timing-only accuracy is statistically indistinguishable from zero at every setting; the search adds nothing measurable once this hold is in place. Calibration collapses alongside accuracy, with confidence-gap counts falling by roughly two orders of magnitude from the unmitigated finding.</w:t>
      </w:r>
    </w:p>
    <w:p>
      <w:pPr>
        <w:pStyle w:val="BodyText"/>
      </w:pPr>
      <w:r>
        <w:t xml:space="preserve">An isolating control, holding every other timing mechanism off and adding only this one hold, confirms the effect is attributable to this specific change: the candidate pool the search has to work against widens from about one plausible sender to roughly a dozen, and the search's advantage over random guessing narrows to about double rather than the near-certainty it reaches with no hold present. Clock independence across the three gatekeepers, and independence from every other timing source in the architecture, is confirmed by direct measurement rather than assumed, the same discipline applied to the relay-node and device clocks in D.2.</w:t>
      </w:r>
    </w:p>
    <w:p>
      <w:pPr>
        <w:pStyle w:val="BodyText"/>
      </w:pPr>
      <w:r>
        <w:t xml:space="preserve">The outside observer with no key access is unaffected by any of this. The ring-signed gatekeeper leg’s own size class, and the gatekeeper hold itself, both leave that adversary’s sequencing attack within noise of its published result. The finding and its fix are specific to a key-holding insider’s own internal timing knowledge, which no zero-key observer has an equivalent to. Table D.1 summarizes the headline figures across all three stages.</w:t>
      </w:r>
    </w:p>
    <w:tbl>
      <w:tblPr>
        <w:tblStyle w:val="Table"/>
        <w:tblW w:type="pct" w:w="5000"/>
        <w:tblLook w:firstRow="1" w:lastRow="0" w:firstColumn="0" w:lastColumn="0" w:noHBand="0" w:noVBand="0" w:val="0020"/>
        <w:jc w:val="start"/>
      </w:tblPr>
      <w:tblGrid>
        <w:gridCol w:w="2900"/>
        <w:gridCol w:w="2900"/>
        <w:gridCol w:w="2900"/>
      </w:tblGrid>
      <w:tr>
        <w:trPr>
          <w:tblHeader w:val="true"/>
        </w:trPr>
        <w:tc>
          <w:tcPr/>
          <w:p>
            <w:pPr>
              <w:pStyle w:val="Compact"/>
              <w:jc w:val="left"/>
            </w:pPr>
            <w:r>
              <w:rPr>
                <w:bCs/>
                <w:b/>
              </w:rPr>
              <w:t xml:space="preserve">Configuration</w:t>
            </w:r>
          </w:p>
        </w:tc>
        <w:tc>
          <w:tcPr/>
          <w:p>
            <w:pPr>
              <w:pStyle w:val="Compact"/>
              <w:jc w:val="left"/>
            </w:pPr>
            <w:r>
              <w:rPr>
                <w:bCs/>
                <w:b/>
              </w:rPr>
              <w:t xml:space="preserve">F/I full variant</w:t>
            </w:r>
          </w:p>
        </w:tc>
        <w:tc>
          <w:tcPr/>
          <w:p>
            <w:pPr>
              <w:pStyle w:val="Compact"/>
              <w:jc w:val="left"/>
            </w:pPr>
            <w:r>
              <w:rPr>
                <w:bCs/>
                <w:b/>
              </w:rPr>
              <w:t xml:space="preserve">vs. 1/L</w:t>
            </w:r>
          </w:p>
        </w:tc>
      </w:tr>
      <w:tr>
        <w:tc>
          <w:tcPr/>
          <w:p>
            <w:pPr>
              <w:pStyle w:val="Compact"/>
              <w:jc w:val="left"/>
            </w:pPr>
            <w:r>
              <w:t xml:space="preserve">First finding (unmitigated)</w:t>
            </w:r>
          </w:p>
        </w:tc>
        <w:tc>
          <w:tcPr/>
          <w:p>
            <w:pPr>
              <w:pStyle w:val="Compact"/>
              <w:jc w:val="left"/>
            </w:pPr>
            <w:r>
              <w:t xml:space="preserve">85.6–32.6% (L = 4 to 40)</w:t>
            </w:r>
          </w:p>
        </w:tc>
        <w:tc>
          <w:tcPr/>
          <w:p>
            <w:pPr>
              <w:pStyle w:val="Compact"/>
              <w:jc w:val="left"/>
            </w:pPr>
            <w:r>
              <w:t xml:space="preserve">3.4–13x above</w:t>
            </w:r>
          </w:p>
        </w:tc>
      </w:tr>
      <w:tr>
        <w:tc>
          <w:tcPr/>
          <w:p>
            <w:pPr>
              <w:pStyle w:val="Compact"/>
              <w:jc w:val="left"/>
            </w:pPr>
            <w:r>
              <w:t xml:space="preserve">Ring signature only</w:t>
            </w:r>
          </w:p>
        </w:tc>
        <w:tc>
          <w:tcPr/>
          <w:p>
            <w:pPr>
              <w:pStyle w:val="Compact"/>
              <w:jc w:val="left"/>
            </w:pPr>
            <w:r>
              <w:t xml:space="preserve">24.2–3.1% (L = 8 to 40)</w:t>
            </w:r>
          </w:p>
        </w:tc>
        <w:tc>
          <w:tcPr/>
          <w:p>
            <w:pPr>
              <w:pStyle w:val="Compact"/>
              <w:jc w:val="left"/>
            </w:pPr>
            <w:r>
              <w:t xml:space="preserve">1.25–2.0x above</w:t>
            </w:r>
          </w:p>
        </w:tc>
      </w:tr>
      <w:tr>
        <w:tc>
          <w:tcPr/>
          <w:p>
            <w:pPr>
              <w:pStyle w:val="Compact"/>
              <w:jc w:val="left"/>
            </w:pPr>
            <w:r>
              <w:t xml:space="preserve">Ring signature + gatekeeper hold (adopted)</w:t>
            </w:r>
          </w:p>
        </w:tc>
        <w:tc>
          <w:tcPr/>
          <w:p>
            <w:pPr>
              <w:pStyle w:val="Compact"/>
              <w:jc w:val="left"/>
            </w:pPr>
            <w:r>
              <w:t xml:space="preserve">6.3–1.2% (L = 8 to 40)</w:t>
            </w:r>
          </w:p>
        </w:tc>
        <w:tc>
          <w:tcPr/>
          <w:p>
            <w:pPr>
              <w:pStyle w:val="Compact"/>
              <w:jc w:val="left"/>
            </w:pPr>
            <w:r>
              <w:t xml:space="preserve">below at every point</w:t>
            </w:r>
          </w:p>
        </w:tc>
      </w:tr>
    </w:tbl>
    <w:p>
      <w:pPr>
        <w:pStyle w:val="BodyText"/>
      </w:pPr>
      <w:r>
        <w:rPr>
          <w:bCs/>
          <w:b/>
        </w:rPr>
        <w:t xml:space="preserve">D.6 Scope and Limitations</w:t>
      </w:r>
    </w:p>
    <w:p>
      <w:pPr>
        <w:pStyle w:val="BodyText"/>
      </w:pPr>
      <w:r>
        <w:t xml:space="preserve">Both evaluations are statistical measurements with confidence intervals, not formal proofs, and carry less certainty than Appendix A’s results. For the outside observer (D.2): several parameters are stated defaults rather than confirmed properties of any deployment, including the background traffic mix, latency ranges, and the assumption that the two content-channel servers detect quorum by polling on the same tick interval used elsewhere. A sensitivity check across background traffic volume, from none to four times the modeled default, left every reported conclusion unchanged. The model does not grant the observer use of transport-layer connection identity, which would most plausibly help at the device’s own first hop and is not evaluated here.</w:t>
      </w:r>
    </w:p>
    <w:p>
      <w:pPr>
        <w:pStyle w:val="BodyText"/>
      </w:pPr>
      <w:r>
        <w:t xml:space="preserve">For the insider-compromise evaluation (D.3 through D.5): one contribution remains unresolved rather than measured cleanly. The routing rule excluding active gatekeepers from serving as C, F, or I was evaluated only in combination with two other changes made at the same time, and this evaluation does not separate how much of the measured effect came from which of the three.</w:t>
      </w:r>
    </w:p>
    <w:p>
      <w:pPr>
        <w:pStyle w:val="BodyText"/>
      </w:pPr>
      <w:r>
        <w:t xml:space="preserve">Two findings are worth stating plainly because they were not the target of the work that produced them. The same hold that closes the gatekeeper-side pathway also widens a compromised credential processor’s own margin below 1/L, since both depend on the same gap between C’s send and quorum formation. And a clock-design question already settled once for a different hold, whether a persistent clock or a freshly drawn phase per event gives less residual signal, was tested again here rather than assumed to transfer, and this time the two gave statistically indistinguishable results, unlike the earlier case. Testing rather than assuming was correct in both directions.</w:t>
      </w:r>
    </w:p>
    <w:p>
      <w:pPr>
        <w:pStyle w:val="BodyText"/>
      </w:pPr>
      <w:r>
        <w:t xml:space="preserve">Full methodology, code, and per-setting data for both evaluations are maintained in this paper’s companion repository (GPAExperiment/level3/ and InsiderCompromiseExperiment/ respectively).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Fig1" Target="media/figure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2026-09-14T12:05:13Z</dcterms:created>
  <dcterms:modified xsi:type="dcterms:W3CDTF">2026-09-14T12:05:13Z</dcterms:modified>
</cp:coreProperties>
</file>

<file path=docProps/custom.xml><?xml version="1.0" encoding="utf-8"?>
<Properties xmlns="http://schemas.openxmlformats.org/officeDocument/2006/custom-properties" xmlns:vt="http://schemas.openxmlformats.org/officeDocument/2006/docPropsVTypes"/>
</file>