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rPr>
          <w:b/>
          <w:bCs/>
        </w:rPr>
        <w:t xml:space="preserve">The Birthmark Protocol: Achieving Semantic Non-Assembly in Media Provenance</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AbstractTitle"/>
      </w:pPr>
      <w:r>
        <w:rPr>
          <w:b/>
          <w:bCs/>
        </w:rPr>
        <w:t xml:space="preserve">ABSTRACT</w:t>
      </w:r>
    </w:p>
    <w:p>
      <w:pPr>
        <w:pStyle w:val="Abstract"/>
      </w:pPr>
      <w:r>
        <w:t xml:space="preserve">System compromise is now routine, and a provenance system must link a capture device to its content under authorization without letting anyone who breaches one part of the system make that link.</w:t>
      </w:r>
      <w:r>
        <w:t xml:space="preserve"> We argue that privacy should be measured by the information that exposure yields, and formalize that measure as Semantic Non-Assembly (SNA): no coalition of fewer than a defined threshold of components (independently operated parts of the system) can assemble a sufficient input to a target identification function, so complete exposure of any sub-threshold component yields no actionable data.</w:t>
      </w:r>
      <w:r>
        <w:t xml:space="preserve"> The Birthmark Protocol achieves SNA against any single compromised component. It separates a device’s credential from its content hash across delivery paths and encryption boundaries, and a per-transaction blinding key, BlindShare_key, </w:t>
      </w:r>
      <w:r>
        <w:t xml:space="preserve">lets the credential validator return a signed verdict on a record hash it cannot read</w:t>
      </w:r>
      <w:r>
        <w:t xml:space="preserve">; correlation requires coordinated compromise across components.</w:t>
      </w:r>
      <w:r>
        <w:t xml:space="preserve"> Seven privacy properties are established with executable ProVerif proofs: Device Non-Correlation, Registry Observer Non-Identification, Submission Server Blindness, and resistance to the compromise of C, the credential validator, a content-channel server, or a gatekeeper individually (Appendices A.2 and A.3).</w:t>
      </w:r>
      <w:r>
        <w:t xml:space="preserve"> Timing and traffic analysis, which the proofs do not model, are evaluated empirically in simulation (Appendix D).</w:t>
      </w:r>
      <w:r>
        <w:t xml:space="preserve"> A reference deployment, the Birthmark Standard, records verified content in a public registry and is viable on constrained capture hardware where zero-knowledge approaches are computationally infeasible; its device-side cost, estimated from published benchmarks (Appendix B), is within the range of commodity embedded processors.</w:t>
      </w:r>
      <w:r>
        <w:t xml:space="preserve"> Anyone can check media against the registry, but the registry doesn’t hold the image itself or enable anyone to find out who took it.</w:t>
      </w:r>
    </w:p>
    <w:p>
      <w:pPr>
        <w:pStyle w:val="FrontMatter"/>
      </w:pPr>
      <w:r>
        <w:rPr>
          <w:b/>
          <w:bCs/>
        </w:rPr>
        <w:t xml:space="preserve">CCS Concepts: </w:t>
      </w:r>
      <w:r>
        <w:t xml:space="preserve">• Security and privacy → </w:t>
      </w:r>
      <w:r>
        <w:rPr>
          <w:i/>
          <w:iCs/>
        </w:rPr>
        <w:t xml:space="preserve">Privacy-preserving protocols</w:t>
      </w:r>
      <w:r>
        <w:t xml:space="preserve"> (Primary); </w:t>
      </w:r>
      <w:r>
        <w:rPr>
          <w:i/>
          <w:iCs/>
        </w:rPr>
        <w:t xml:space="preserve">Formal methods and theory of security</w:t>
      </w:r>
      <w:r>
        <w:t xml:space="preserve">; </w:t>
      </w:r>
      <w:r>
        <w:rPr>
          <w:i/>
          <w:iCs/>
        </w:rPr>
        <w:t xml:space="preserve">Privacy protections</w:t>
      </w:r>
      <w:r>
        <w:t xml:space="preserve">; </w:t>
      </w:r>
      <w:r>
        <w:rPr>
          <w:i/>
          <w:iCs/>
        </w:rPr>
        <w:t xml:space="preserve">Information flow control</w:t>
      </w:r>
      <w:r>
        <w:t xml:space="preserve">.</w:t>
      </w:r>
    </w:p>
    <w:p>
      <w:pPr>
        <w:pStyle w:val="FrontMatter"/>
      </w:pPr>
      <w:r>
        <w:rPr>
          <w:b/>
          <w:bCs/>
        </w:rPr>
        <w:t xml:space="preserve">Additional Keywords and Phrases: </w:t>
      </w:r>
      <w:r>
        <w:t xml:space="preserve">Birthmark Protocol, semantic non-assembly, privacy-by-design, data minimization, architectural privacy, ProVerif, media provenance, Birthmark Standard</w:t>
      </w:r>
    </w:p>
    <w:p>
      <w:pPr>
        <w:pStyle w:val="FrontMatter"/>
      </w:pPr>
      <w:r>
        <w:rPr>
          <w:b/>
          <w:bCs/>
        </w:rPr>
        <w:t xml:space="preserve">ACM Reference Format:</w:t>
      </w:r>
    </w:p>
    <w:p>
      <w:pPr>
        <w:pStyle w:val="FrontMatter"/>
      </w:pPr>
      <w:r>
        <w:t xml:space="preserve">Sam Ryan. 2026. The Birthmark Protocol: Achieving Semantic Non-Assembly in Media Provenance. </w:t>
      </w:r>
      <w:r>
        <w:rPr>
          <w:i/>
          <w:iCs/>
        </w:rPr>
        <w:t xml:space="preserve">ACM Trans. Priv. Secur.</w:t>
      </w:r>
      <w:r>
        <w:t xml:space="preserve"> 1, 1, Article 1 (October 2026), </w:t>
      </w:r>
      <w:r>
        <w:t xml:space="preserve">34 pages</w:t>
      </w:r>
      <w:r>
        <w:t xml:space="preserve">. https://doi.org/XXXXXXX.XXXXXXX</w:t>
      </w:r>
    </w:p>
    <w:p>
      <w:pPr>
        <w:pStyle w:val="Heading1"/>
      </w:pPr>
      <w:r>
        <w:rPr>
          <w:b/>
          <w:bCs/>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[16].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information flow control, statistical disclosure limitation) address how to restrict access to sensitive information that exists somewhere in the system. None addresses the case where the armor has been pierced. All assume a store to protect, and all fail when that store is exposed. What is needed is a class of system that concedes nothing on component exposure, because there is nothing to concede.</w:t>
      </w:r>
    </w:p>
    <w:p>
      <w:pPr>
        <w:pStyle w:val="BodyText"/>
      </w:pPr>
      <w: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t xml:space="preserve">A provenance architecture illustrates the requirement: a device must be linkable to authenticated content, but only under specific authorized conditions. The privacy challenge is ensuring no component accumulates sufficient information to perform it without authorization. This paper asks: can a system be architected such that complete, authorized exposure of any single component (including full decryption of its contents) yields no information sufficient to execute the target identification function? In a threat environment where component exposure is probable, the yield of exposure is a more actionable security property than its difficulty. The Birthmark Protocol answers this question affirmatively, by giving Hoepman’s SEPARATE and HIDE privacy design strategies [12] a precise, executable threshold we call Semantic Non-Assembly.</w:t>
      </w:r>
    </w:p>
    <w:p>
      <w:pPr>
        <w:pStyle w:val="BodyText"/>
      </w:pPr>
      <w:r>
        <w:t xml:space="preserve">This paper makes three contributions. The first is Semantic Non-Assembly as a formalized, machine-checked privacy property: a structural threshold on the information that exposing a component yields (Sections 1.1 and 4). The second is the Birthmark Protocol, a two-channel provenance architecture that instantiates the guarantee, with ProVerif proofs of seven privacy properties (Properties A to F and J; Section 4 and Appendix A). The third is the Birthmark Standard, a reference instantiation that demonstrates deployability on constrained capture hardware (Section 5).</w:t>
      </w:r>
    </w:p>
    <w:p>
      <w:pPr>
        <w:pStyle w:val="Heading2"/>
      </w:pPr>
      <w:r>
        <w:rPr>
          <w:b/>
          <w:bCs/>
        </w:rPr>
        <w:t xml:space="preserve">1.1 Semantic Non-Assembly</w:t>
      </w:r>
    </w:p>
    <w:p>
      <w:pPr>
        <w:pStyle w:val="BodyText"/>
      </w:pPr>
      <w:r>
        <w:t xml:space="preserve">SNA prevents evaluation of a designated predicate by preventing any sub-threshold coalition from assembling a sufficient assignment to its input domain. The term “semantic” here refers to the meaning level of information (what the data enables with respect to f) rather than to semantic security in the cryptographic sense. Formally: an architecture satisfies semantic non-assembly with respect to predicate f and threshold t if no coalition of fewer than t+1 components</w:t>
      </w:r>
      <w:r>
        <w:t xml:space="preserve"> (independently operated parts of the system; Section 3.1 defines them for this architecture)</w:t>
      </w:r>
      <w:r>
        <w:t xml:space="preserve"> can assemble a state from which f is computable. A sufficient state is any combination of information fields whose values together enable execution of f</w:t>
      </w:r>
      <w:r>
        <w:t xml:space="preserve">. For device attribution in media provenance, f is the function that links a specific capture device to specific authenticated content; a sufficient state is any combination of device identity and content record that enables execution of that linkage. The threshold t formalizes the adversary assumption: an architecture satisfying semantic non-assembly at t=1 remains private under any single-component compromise; larger t tolerates broader coordinated compromise.</w:t>
      </w:r>
    </w:p>
    <w:p>
      <w:pPr>
        <w:pStyle w:val="BodyText"/>
      </w:pPr>
      <w:r>
        <w:t xml:space="preserve">The mechanism is architectural rather than procedural. A policy prohibition on co-locating sufficient information is not Semantic Non-Assembly; it is an access control rule applied to a system that has the capability to violate its privacy obligations. Semantic Non-Assembly requires that the architecture make co-location structurally impossible below the compromise threshold by design, not just by trust. This distinction matters for the adversary model: policy-based separation fails under insider threat or operator compromise; structural separation fails only under coordinated multi-component compromise at or above threshold t.</w:t>
      </w:r>
    </w:p>
    <w:p>
      <w:pPr>
        <w:pStyle w:val="BodyText"/>
      </w:pPr>
      <w:r>
        <w:t xml:space="preserve">This also means SNA is a claim about information state, not about operational scale or component count. A single, heavily centralized service satisfies Semantic Non-Assembly at the same threshold as many independently operated ones, provided its own information state never includes a sufficient assignment to f’s input domain; conversely, distributing a function across many independently operated organizations does not itself satisfy SNA if each one still holds enough of the sufficient state to compute f alone.</w:t>
      </w:r>
    </w:p>
    <w:p>
      <w:pPr>
        <w:pStyle w:val="BodyText"/>
      </w:pPr>
      <w:r>
        <w:t xml:space="preserve">The class of guarantee applies to systems where (a) the target identification function is defined and bounded, (b) the system designer controls which components hold which information fields, and (c) the privacy requirement is that the function be performable only under authorized conditions, not that it be permanently prevented. </w:t>
      </w:r>
      <w:r>
        <w:t xml:space="preserve">Provenance is the canonical case. Linking a device to its content is the system’s purpose, so the requirement is that watching the system, even from inside one component, does not let an observer make that link.</w:t>
      </w:r>
    </w:p>
    <w:p>
      <w:pPr>
        <w:pStyle w:val="Heading2"/>
      </w:pPr>
      <w:r>
        <w:rPr>
          <w:b/>
          <w:bCs/>
        </w:rPr>
        <w:t xml:space="preserve">1.2 Scope</w:t>
      </w:r>
    </w:p>
    <w:p>
      <w:pPr>
        <w:pStyle w:val="BodyText"/>
      </w:pPr>
      <w:r>
        <w:t xml:space="preserve">The architecture verifies that content originated from a registered capture device. It does not verify scene truthfulness, content accuracy, staging authenticity, or editorial decisions. Privacy guarantees are computational rather than information-theoretic. The properties in Section 4 describe what is determinable by a party acting outside the consortium’s governance process, including any coalition below the cooperation threshold that process requires; they say nothing about, and do not foreclose, a separate governed mechanism by which cooperating consortium members could identify and revoke a specific device’s credential given a specific piece of content. Such a mechanism requires multi-party authorization and is outside this paper’s scope.</w:t>
      </w:r>
    </w:p>
    <w:p>
      <w:pPr>
        <w:pStyle w:val="Heading1"/>
      </w:pPr>
      <w:r>
        <w:rPr>
          <w:b/>
          <w:bCs/>
        </w:rPr>
        <w:t xml:space="preserve">2 RELATED WORK</w:t>
      </w:r>
    </w:p>
    <w:p>
      <w:pPr>
        <w:pStyle w:val="BodyText"/>
      </w:pPr>
      <w:r>
        <w:t xml:space="preserve">Confidentiality and access control are foundational [5]. Contextual integrity (Nissenbaum [10]) frames privacy as appropriate information flow relative to context norms. SNA is distinct: contextual integrity asks whether a given flow is appropriate relative to the norms of its context; SNA asks whether the sufficient state for a target function can be assembled at all, independent of whether any individual flow is norm-violating. A system can satisfy contextual integrity in every flow and still fail SNA if a single component accumulates a sufficient state through individually appropriate flows. Differential privacy (Dwork et al. [11]) provides formal guarantees for statistical data releases. k-anonymity and its successors (l-diversity, t-closeness) address quasi-identifier-based re-identification in tabular data. Purpose limitation under GDPR and similar frameworks imposes policy-level constraints on information use. None of these frameworks addresses the structural prevention of sufficient-information assembly in systems where the identification function is authorized but must not be passively available.</w:t>
      </w:r>
    </w:p>
    <w:p>
      <w:pPr>
        <w:pStyle w:val="BodyText"/>
      </w:pPr>
      <w:r>
        <w:rPr>
          <w:b/>
          <w:bCs/>
        </w:rPr>
        <w:t xml:space="preserve">Privacy by Design.</w:t>
      </w:r>
      <w:r>
        <w:t xml:space="preserve"> Cavoukian’s Privacy by Design [7] </w:t>
      </w:r>
      <w:r>
        <w:t xml:space="preserve">establishes seven foundational principles for how privacy should be approached during design</w:t>
      </w:r>
      <w:r>
        <w:t xml:space="preserve">, not a formal property a design either satisfies or fails.</w:t>
      </w:r>
      <w:r>
        <w:t xml:space="preserve"> A system can follow every Privacy by Design principle in good faith and still fail SNA, if a single component ends up holding a sufficient information set</w:t>
      </w:r>
      <w:r>
        <w:t xml:space="preserve">.</w:t>
      </w:r>
    </w:p>
    <w:p>
      <w:pPr>
        <w:pStyle w:val="BodyText"/>
      </w:pPr>
      <w:r>
        <w:rPr>
          <w:b/>
          <w:bCs/>
        </w:rPr>
        <w:t xml:space="preserve">Privacy Design Strategies.</w:t>
      </w:r>
      <w:r>
        <w:t xml:space="preserve"> Hoepman [12]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Semantic Non-Assembly composes both strategies: content and credential fields are kept apart (SEPARATE), and each field is a one-way function of the underlying value rather than the value itself (HIDE).</w:t>
      </w:r>
    </w:p>
    <w:p>
      <w:pPr>
        <w:pStyle w:val="BodyText"/>
      </w:pPr>
      <w:r>
        <w:rPr>
          <w:b/>
          <w:bCs/>
        </w:rPr>
        <w:t xml:space="preserve">Terminology.</w:t>
      </w:r>
      <w:r>
        <w:t xml:space="preserve"> </w:t>
      </w:r>
      <w:r>
        <w:t xml:space="preserve">“Birthmark” is a software-security term for an intrinsic, origin-derived characteristic that identifies an artifact after transformation without embedding a signal, unlike a watermark [14]; a registered device’s content hash is such a characteristic.</w:t>
      </w:r>
    </w:p>
    <w:p>
      <w:pPr>
        <w:pStyle w:val="BodyText"/>
      </w:pPr>
      <w:r>
        <w:rPr>
          <w:b/>
          <w:bCs/>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fingerprints and watermarks that survive some transformations and support content-based manifest lookup independent of the stripped metadata, partially address this: they trade guaranteed matching for tolerance of the transformations that break exact metadata survival, and depend on a soft-binding lookup service rather than an external record. Storing verification records externally, as this architecture does, makes survival of in-band metadata loss a structural property rather than a platform dependency, without requiring perceptual tolerance in the first place.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
          <w:bCs/>
        </w:rPr>
        <w:t xml:space="preserve">Zero-Knowledge Proofs for Authentication.</w:t>
      </w:r>
      <w:r>
        <w:t xml:space="preserve"> ZK-SNARKs enable proof of credential possession without credential disclosure [6].</w:t>
      </w:r>
      <w:r>
        <w:t xml:space="preserve"> </w:t>
      </w:r>
      <w:r>
        <w:t xml:space="preserve">Their formal guarantees include resistance to correlation even by an adversary who compromises the credential validator; this architecture also establishes that property as Property E (Appendix A.3), by a different mechanism. Section 6.1 compares the two on deployment cost and trust assumptions.</w:t>
      </w:r>
    </w:p>
    <w:p>
      <w:pPr>
        <w:pStyle w:val="BodyText"/>
      </w:pPr>
      <w:r>
        <w:rPr>
          <w:b/>
          <w:bCs/>
        </w:rPr>
        <w:t xml:space="preserve">Anonymous Credentials and Attestation. </w:t>
      </w:r>
      <w:r>
        <w:t xml:space="preserve">Privacy Pass [20]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t xml:space="preserve">Direct Anonymous Attestation [21] lets a hardware module prove it is a genuine, certified device without revealing which one, and unlinkably across attestations unless the user and verifier agree otherwise; as a deployed TPM standard that targets the same query with signature schemes rather than circuit constructions, it is a closer comparison for the credential validator’s device-membership check than ZK-SNARKs.</w:t>
      </w:r>
      <w:r>
        <w:t xml:space="preserve"> Neither addresses the second half of this architecture’s guarantee: keeping the resulting attestation from ever being co-located with the content it authenticates.</w:t>
      </w:r>
    </w:p>
    <w:p>
      <w:pPr>
        <w:pStyle w:val="BodyText"/>
      </w:pPr>
      <w:r>
        <w:rPr>
          <w:b/>
          <w:bCs/>
        </w:rPr>
        <w:t xml:space="preserve">Split-Knowledge Systems and Privacy Engineering.</w:t>
      </w:r>
      <w:r>
        <w:t xml:space="preserve"> The principle that no single party should hold sufficient information to perform a sensitive operation is established in information security as separation of privilege [5]: a mechanism that requires two keys, held by different parties, is more robust than one that requires a single key. </w:t>
      </w:r>
      <w:r>
        <w:t xml:space="preserve">Split-knowledge architectures partition a key or secret value into shares so that reconstruction requires a threshold of them.</w:t>
      </w:r>
      <w:r>
        <w:t xml:space="preserve"> Semantic Non-Assembly operates on a typed information schema rather than a single algebraic object: the object of protection is a predicate’s input domain (the set of information fields whose combination constitutes a sufficient input to the identification function), and the mechanism is preventing that domain from being assembled at any component below threshold t. A threshold scheme over a device credential and a content hash would combine them into a shared secret requiring t-of-n parties to reconstruct; Semantic Non-Assembly ensures the two fields are never co-located, making the threshold reconstruction question moot.</w:t>
      </w:r>
    </w:p>
    <w:p>
      <w:pPr>
        <w:pStyle w:val="BodyText"/>
      </w:pPr>
      <w:r>
        <w:rPr>
          <w:b/>
          <w:bCs/>
        </w:rPr>
        <w:t xml:space="preserve">Delivery Without Recipient Knowledge. </w:t>
      </w:r>
      <w:r>
        <w:t xml:space="preserve">Oblivious HTTP [22] routes a client’s request through a relay that sees the client’s address but not the separately-encrypted request content, to a target server that sees the request but not the client’s address; no single party sees both. Signal’s sealed sender [23] similarly lets a messaging server deliver a message without learning who sent it</w:t>
      </w:r>
      <w:r>
        <w:t xml:space="preserve">. Both are deployed, production examples of the same no-single-delivery-party-learns-both-ends principle this architecture applies to its own relay layer (G6, Section 4.2); neither is designed around a public, queryable record of the kind this architecture posts to a registry. </w:t>
      </w:r>
      <w:r>
        <w:t xml:space="preserve">A subsequent analysis [24] showed that sealed sender’s one-sided anonymity guarantee</w:t>
      </w:r>
      <w:r>
        <w:t xml:space="preserve"> does not compose </w:t>
      </w:r>
      <w:r>
        <w:t xml:space="preserve">across a conversation: repeated messages</w:t>
      </w:r>
      <w:r>
        <w:t xml:space="preserve"> between the same two parties can be statistically linked using delivery receipts in as few as five messages</w:t>
      </w:r>
      <w:r>
        <w:t xml:space="preserve">.</w:t>
      </w:r>
    </w:p>
    <w:p>
      <w:pPr>
        <w:pStyle w:val="BodyText"/>
      </w:pPr>
      <w:r>
        <w:rPr>
          <w:b/>
          <w:bCs/>
        </w:rPr>
        <w:t xml:space="preserve">Architectural Information-Flow Reasoning.</w:t>
      </w:r>
      <w:r>
        <w:t xml:space="preserve"> Chong and van der Meyden [13]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r>
        <w:t xml:space="preserve">Property A’s proof (Appendix A.3)</w:t>
      </w:r>
      <w:r>
        <w:t xml:space="preserve"> derives a global non-correlation guarantee from the architecture’s channel structure and the validator’s local behavior</w:t>
      </w:r>
      <w:r>
        <w:t xml:space="preserve">.</w:t>
      </w:r>
    </w:p>
    <w:p>
      <w:pPr>
        <w:pStyle w:val="BodyText"/>
      </w:pPr>
      <w:r>
        <w:t xml:space="preserve">Conventional data minimization seeks to reduce the amount of retained information. Semantic Non-Assembly instead minimizes the information available to any architectural component with respect to a designated identification function.</w:t>
      </w:r>
      <w:r>
        <w:t xml:space="preserve"> In this sense, Semantic Non-Assembly operationalizes data minimization at the level of predicate computability rather than record size, the same structural reading that satisfies GDPR’s data minimization principle (Article 5(1)(c): personal data must be adequate, relevant, and limited to what is necessary) as an architectural property rather than a policy constraint. </w:t>
      </w:r>
      <w:r>
        <w:t xml:space="preserve">None of the frameworks surveyed here applies these principles to public media provenance.</w:t>
      </w:r>
    </w:p>
    <w:p>
      <w:pPr>
        <w:pStyle w:val="BodyText"/>
      </w:pPr>
      <w:r>
        <w:rPr>
          <w:b/>
          <w:bCs/>
        </w:rPr>
        <w:t xml:space="preserve">Multi-Party Computation and t-Privacy.</w:t>
      </w:r>
      <w:r>
        <w:t xml:space="preserve"> The zero-yield-at-threshold property recalls t-privacy in multi-party computation [9]: in a t-private MPC protocol, no coalition of fewer than t+1 parties can learn anything beyond what their inputs and outputs reveal. </w:t>
      </w:r>
      <w:r>
        <w:t xml:space="preserve">MPC t-privacy operates on computational protocols that distribute shares of input values across parties, such that no sub-threshold coalition can reconstruct the function’s inputs from its shares; the object of protection is the computational secrecy of input values during protocol execution. Semantic Non-Assembly operates on information architecture: the object of protection is the assembly of a sufficient state across components, and the guarantee holds independent of any protocol executed over that architecture.</w:t>
      </w:r>
    </w:p>
    <w:p>
      <w:pPr>
        <w:pStyle w:val="BodyText"/>
      </w:pPr>
      <w:r>
        <w:t xml:space="preserve">Prio [25] extends split-trust principles to aggregate statistics collection: clients secret-share individual data across several non-colluding servers, which jointly compute a sum or count without any one server reconstructing an individual contribution.</w:t>
      </w:r>
      <w:r>
        <w:t xml:space="preserve"> A system can satisfy Prio’s guarantee while still linking any one given submission to its device, since Prio’s privacy is a property of the aggregate, not of any individual contribution.</w:t>
      </w:r>
    </w:p>
    <w:p>
      <w:pPr>
        <w:pStyle w:val="BodyText"/>
      </w:pPr>
      <w:r>
        <w:t xml:space="preserve">The approaches in Table 1 share a pattern. Each protects an object that exists somewhere (a store, a data flow, a released dataset, a secret, an input value, an aggregate), and each guarantee concerns who can reach that object or what can be inferred from it. Semantic Non-Assembly asks a different question: whether the sufficient state for the identification function is ever assembled at any one component. The remaining gap is the cooperating insider. A single component’s keys, used by someone entitled to use them, yield whatever that component holds, and under SNA what it holds is a fragment.</w:t>
      </w:r>
    </w:p>
    <w:p>
      <w:pPr>
        <w:pStyle w:val="TableCaption"/>
      </w:pPr>
      <w:r>
        <w:rPr>
          <w:b/>
          <w:bCs/>
        </w:rPr>
        <w:t xml:space="preserve">Table 1.</w:t>
      </w:r>
      <w:r>
        <w:t xml:space="preserve"> Semantic Non-Assembly compared with existing approaches: what each protects, what exposing one component yields, and how SNA differs.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3"/>
        <w:gridCol w:w="2011"/>
        <w:gridCol w:w="2243"/>
        <w:gridCol w:w="2972"/>
      </w:tblGrid>
      <w:tr>
        <w:trPr>
          <w:cantSplit/>
          <w:tblHeader w:val="true"/>
        </w:trPr>
        <w:tc>
          <w:tcPr>
            <w:tcW w:w="2133" w:type="dxa"/>
            <w:tcBorders>
              <w:top w:val="single" w:sz="12" w:space="0" w:color="000000"/>
              <w:bottom w:val="single" w:sz="6" w:space="0" w:color="000000"/>
            </w:tcBorders>
            <w:vAlign w:val="bottom"/>
          </w:tcPr>
          <w:p>
            <w:pPr>
              <w:pStyle w:val="TableText"/>
              <w:keepNext/>
            </w:pPr>
            <w:r>
              <w:rPr>
                <w:b/>
                <w:bCs/>
              </w:rPr>
              <w:t xml:space="preserve">Approach</w:t>
            </w:r>
          </w:p>
        </w:tc>
        <w:tc>
          <w:tcPr>
            <w:tcW w:w="2011" w:type="dxa"/>
            <w:tcBorders>
              <w:top w:val="single" w:sz="12" w:space="0" w:color="000000"/>
              <w:bottom w:val="single" w:sz="6" w:space="0" w:color="000000"/>
            </w:tcBorders>
            <w:vAlign w:val="bottom"/>
          </w:tcPr>
          <w:p>
            <w:pPr>
              <w:pStyle w:val="TableText"/>
              <w:keepNext/>
            </w:pPr>
            <w:r>
              <w:rPr>
                <w:b/>
                <w:bCs/>
              </w:rPr>
              <w:t xml:space="preserve">What it protects</w:t>
            </w:r>
          </w:p>
        </w:tc>
        <w:tc>
          <w:tcPr>
            <w:tcW w:w="2243" w:type="dxa"/>
            <w:tcBorders>
              <w:top w:val="single" w:sz="12" w:space="0" w:color="000000"/>
              <w:bottom w:val="single" w:sz="6" w:space="0" w:color="000000"/>
            </w:tcBorders>
            <w:vAlign w:val="bottom"/>
          </w:tcPr>
          <w:p>
            <w:pPr>
              <w:pStyle w:val="TableText"/>
              <w:keepNext/>
            </w:pPr>
            <w:r>
              <w:rPr>
                <w:b/>
                <w:bCs/>
              </w:rPr>
              <w:t xml:space="preserve">What exposing one component yields</w:t>
            </w:r>
          </w:p>
        </w:tc>
        <w:tc>
          <w:tcPr>
            <w:tcW w:w="2972" w:type="dxa"/>
            <w:tcBorders>
              <w:top w:val="single" w:sz="12" w:space="0" w:color="000000"/>
              <w:bottom w:val="single" w:sz="6" w:space="0" w:color="000000"/>
            </w:tcBorders>
            <w:vAlign w:val="bottom"/>
          </w:tcPr>
          <w:p>
            <w:pPr>
              <w:pStyle w:val="TableText"/>
              <w:keepNext/>
            </w:pPr>
            <w:r>
              <w:rPr>
                <w:b/>
                <w:bCs/>
              </w:rPr>
              <w:t xml:space="preserve">How SNA differs</w:t>
            </w:r>
          </w:p>
        </w:tc>
      </w:tr>
      <w:tr>
        <w:trPr>
          <w:cantSplit/>
        </w:trPr>
        <w:tc>
          <w:tcPr>
            <w:tcW w:w="2133" w:type="dxa"/>
            <w:tcBorders>
              <w:bottom w:val="single" w:sz="2" w:space="0" w:color="BFBFBF"/>
            </w:tcBorders>
            <w:vAlign w:val="top"/>
          </w:tcPr>
          <w:p>
            <w:pPr>
              <w:pStyle w:val="TableText"/>
              <w:keepNext/>
            </w:pPr>
            <w:r>
              <w:t xml:space="preserve">Confidentiality</w:t>
            </w:r>
          </w:p>
        </w:tc>
        <w:tc>
          <w:tcPr>
            <w:tcW w:w="2011" w:type="dxa"/>
            <w:tcBorders>
              <w:bottom w:val="single" w:sz="2" w:space="0" w:color="BFBFBF"/>
            </w:tcBorders>
            <w:vAlign w:val="top"/>
          </w:tcPr>
          <w:p>
            <w:pPr>
              <w:pStyle w:val="TableText"/>
              <w:keepNext/>
            </w:pPr>
            <w:r>
              <w:t xml:space="preserve">Information that exists in one place</w:t>
            </w:r>
          </w:p>
        </w:tc>
        <w:tc>
          <w:tcPr>
            <w:tcW w:w="2243" w:type="dxa"/>
            <w:tcBorders>
              <w:bottom w:val="single" w:sz="2" w:space="0" w:color="BFBFBF"/>
            </w:tcBorders>
            <w:vAlign w:val="top"/>
          </w:tcPr>
          <w:p>
            <w:pPr>
              <w:pStyle w:val="TableText"/>
              <w:keepNext/>
            </w:pPr>
            <w:r>
              <w:t xml:space="preserve">Everything that component stores</w:t>
            </w:r>
          </w:p>
        </w:tc>
        <w:tc>
          <w:tcPr>
            <w:tcW w:w="2972" w:type="dxa"/>
            <w:tcBorders>
              <w:bottom w:val="single" w:sz="2" w:space="0" w:color="BFBFBF"/>
            </w:tcBorders>
            <w:vAlign w:val="top"/>
          </w:tcPr>
          <w:p>
            <w:pPr>
              <w:pStyle w:val="TableText"/>
              <w:keepNext/>
            </w:pPr>
            <w:r>
              <w:t xml:space="preserve">SNA prevents the sufficient information set from existing in one place</w:t>
            </w:r>
          </w:p>
        </w:tc>
      </w:tr>
      <w:tr>
        <w:trPr>
          <w:cantSplit/>
        </w:trPr>
        <w:tc>
          <w:tcPr>
            <w:tcW w:w="2133" w:type="dxa"/>
            <w:tcBorders>
              <w:bottom w:val="single" w:sz="2" w:space="0" w:color="BFBFBF"/>
            </w:tcBorders>
            <w:vAlign w:val="top"/>
          </w:tcPr>
          <w:p>
            <w:pPr>
              <w:pStyle w:val="TableText"/>
              <w:keepNext/>
            </w:pPr>
            <w:r>
              <w:t xml:space="preserve">Access control</w:t>
            </w:r>
          </w:p>
        </w:tc>
        <w:tc>
          <w:tcPr>
            <w:tcW w:w="2011" w:type="dxa"/>
            <w:tcBorders>
              <w:bottom w:val="single" w:sz="2" w:space="0" w:color="BFBFBF"/>
            </w:tcBorders>
            <w:vAlign w:val="top"/>
          </w:tcPr>
          <w:p>
            <w:pPr>
              <w:pStyle w:val="TableText"/>
              <w:keepNext/>
            </w:pPr>
            <w:r>
              <w:t xml:space="preserve">Operations on an existing store</w:t>
            </w:r>
          </w:p>
        </w:tc>
        <w:tc>
          <w:tcPr>
            <w:tcW w:w="2243" w:type="dxa"/>
            <w:tcBorders>
              <w:bottom w:val="single" w:sz="2" w:space="0" w:color="BFBFBF"/>
            </w:tcBorders>
            <w:vAlign w:val="top"/>
          </w:tcPr>
          <w:p>
            <w:pPr>
              <w:pStyle w:val="TableText"/>
              <w:keepNext/>
            </w:pPr>
            <w:r>
              <w:t xml:space="preserve">The store’s contents, once permissions fail (misconfiguration, insider threat, key compromise)</w:t>
            </w:r>
          </w:p>
        </w:tc>
        <w:tc>
          <w:tcPr>
            <w:tcW w:w="2972" w:type="dxa"/>
            <w:tcBorders>
              <w:bottom w:val="single" w:sz="2" w:space="0" w:color="BFBFBF"/>
            </w:tcBorders>
            <w:vAlign w:val="top"/>
          </w:tcPr>
          <w:p>
            <w:pPr>
              <w:pStyle w:val="TableText"/>
              <w:keepNext/>
            </w:pPr>
            <w:r>
              <w:t xml:space="preserve">SNA eliminates the store; failure requires t+1 components at once</w:t>
            </w:r>
          </w:p>
        </w:tc>
      </w:tr>
      <w:tr>
        <w:trPr>
          <w:cantSplit/>
        </w:trPr>
        <w:tc>
          <w:tcPr>
            <w:tcW w:w="2133" w:type="dxa"/>
            <w:tcBorders>
              <w:bottom w:val="single" w:sz="2" w:space="0" w:color="BFBFBF"/>
            </w:tcBorders>
            <w:vAlign w:val="top"/>
          </w:tcPr>
          <w:p>
            <w:pPr>
              <w:pStyle w:val="TableText"/>
              <w:keepNext/>
            </w:pPr>
            <w:r>
              <w:t xml:space="preserve">Information flow control</w:t>
            </w:r>
          </w:p>
        </w:tc>
        <w:tc>
          <w:tcPr>
            <w:tcW w:w="2011" w:type="dxa"/>
            <w:tcBorders>
              <w:bottom w:val="single" w:sz="2" w:space="0" w:color="BFBFBF"/>
            </w:tcBorders>
            <w:vAlign w:val="top"/>
          </w:tcPr>
          <w:p>
            <w:pPr>
              <w:pStyle w:val="TableText"/>
              <w:keepNext/>
            </w:pPr>
            <w:r>
              <w:t xml:space="preserve">Propagation paths for data that exists at a source</w:t>
            </w:r>
          </w:p>
        </w:tc>
        <w:tc>
          <w:tcPr>
            <w:tcW w:w="2243" w:type="dxa"/>
            <w:tcBorders>
              <w:bottom w:val="single" w:sz="2" w:space="0" w:color="BFBFBF"/>
            </w:tcBorders>
            <w:vAlign w:val="top"/>
          </w:tcPr>
          <w:p>
            <w:pPr>
              <w:pStyle w:val="TableText"/>
              <w:keepNext/>
            </w:pPr>
            <w:r>
              <w:t xml:space="preserve">The source data, if policy enforcement is bypassed</w:t>
            </w:r>
          </w:p>
        </w:tc>
        <w:tc>
          <w:tcPr>
            <w:tcW w:w="2972" w:type="dxa"/>
            <w:tcBorders>
              <w:bottom w:val="single" w:sz="2" w:space="0" w:color="BFBFBF"/>
            </w:tcBorders>
            <w:vAlign w:val="top"/>
          </w:tcPr>
          <w:p>
            <w:pPr>
              <w:pStyle w:val="TableText"/>
              <w:keepNext/>
            </w:pPr>
            <w:r>
              <w:t xml:space="preserve">SNA works at design time: no component holds the sufficient set, so there is no flow to label or restrict</w:t>
            </w:r>
          </w:p>
        </w:tc>
      </w:tr>
      <w:tr>
        <w:trPr>
          <w:cantSplit/>
        </w:trPr>
        <w:tc>
          <w:tcPr>
            <w:tcW w:w="2133" w:type="dxa"/>
            <w:tcBorders>
              <w:bottom w:val="single" w:sz="2" w:space="0" w:color="BFBFBF"/>
            </w:tcBorders>
            <w:vAlign w:val="top"/>
          </w:tcPr>
          <w:p>
            <w:pPr>
              <w:pStyle w:val="TableText"/>
              <w:keepNext/>
            </w:pPr>
            <w:r>
              <w:t xml:space="preserve">Statistical disclosure limitation</w:t>
            </w:r>
          </w:p>
        </w:tc>
        <w:tc>
          <w:tcPr>
            <w:tcW w:w="2011" w:type="dxa"/>
            <w:tcBorders>
              <w:bottom w:val="single" w:sz="2" w:space="0" w:color="BFBFBF"/>
            </w:tcBorders>
            <w:vAlign w:val="top"/>
          </w:tcPr>
          <w:p>
            <w:pPr>
              <w:pStyle w:val="TableText"/>
              <w:keepNext/>
            </w:pPr>
            <w:r>
              <w:t xml:space="preserve">A released dataset, through noise, suppression or generalization</w:t>
            </w:r>
          </w:p>
        </w:tc>
        <w:tc>
          <w:tcPr>
            <w:tcW w:w="2243" w:type="dxa"/>
            <w:tcBorders>
              <w:bottom w:val="single" w:sz="2" w:space="0" w:color="BFBFBF"/>
            </w:tcBorders>
            <w:vAlign w:val="top"/>
          </w:tcPr>
          <w:p>
            <w:pPr>
              <w:pStyle w:val="TableText"/>
              <w:keepNext/>
            </w:pPr>
            <w:r>
              <w:t xml:space="preserve">The dataset, with inference bounded by the added distortion</w:t>
            </w:r>
          </w:p>
        </w:tc>
        <w:tc>
          <w:tcPr>
            <w:tcW w:w="2972" w:type="dxa"/>
            <w:tcBorders>
              <w:bottom w:val="single" w:sz="2" w:space="0" w:color="BFBFBF"/>
            </w:tcBorders>
            <w:vAlign w:val="top"/>
          </w:tcPr>
          <w:p>
            <w:pPr>
              <w:pStyle w:val="TableText"/>
              <w:keepNext/>
            </w:pPr>
            <w:r>
              <w:t xml:space="preserve">No dataset exists at any sub-threshold component to run inference on</w:t>
            </w:r>
          </w:p>
        </w:tc>
      </w:tr>
      <w:tr>
        <w:trPr>
          <w:cantSplit/>
        </w:trPr>
        <w:tc>
          <w:tcPr>
            <w:tcW w:w="2133" w:type="dxa"/>
            <w:tcBorders>
              <w:bottom w:val="single" w:sz="2" w:space="0" w:color="BFBFBF"/>
            </w:tcBorders>
            <w:vAlign w:val="top"/>
          </w:tcPr>
          <w:p>
            <w:pPr>
              <w:pStyle w:val="TableText"/>
              <w:keepNext/>
            </w:pPr>
            <w:r>
              <w:t xml:space="preserve">Split-knowledge and threshold schemes</w:t>
            </w:r>
          </w:p>
        </w:tc>
        <w:tc>
          <w:tcPr>
            <w:tcW w:w="2011" w:type="dxa"/>
            <w:tcBorders>
              <w:bottom w:val="single" w:sz="2" w:space="0" w:color="BFBFBF"/>
            </w:tcBorders>
            <w:vAlign w:val="top"/>
          </w:tcPr>
          <w:p>
            <w:pPr>
              <w:pStyle w:val="TableText"/>
              <w:keepNext/>
            </w:pPr>
            <w:r>
              <w:t xml:space="preserve">One algebraic object (a key or secret) shared t-of-n</w:t>
            </w:r>
          </w:p>
        </w:tc>
        <w:tc>
          <w:tcPr>
            <w:tcW w:w="2243" w:type="dxa"/>
            <w:tcBorders>
              <w:bottom w:val="single" w:sz="2" w:space="0" w:color="BFBFBF"/>
            </w:tcBorders>
            <w:vAlign w:val="top"/>
          </w:tcPr>
          <w:p>
            <w:pPr>
              <w:pStyle w:val="TableText"/>
              <w:keepNext/>
            </w:pPr>
            <w:r>
              <w:t xml:space="preserve">One share, which reveals nothing alone; t colluding parties reconstruct the secret</w:t>
            </w:r>
          </w:p>
        </w:tc>
        <w:tc>
          <w:tcPr>
            <w:tcW w:w="2972" w:type="dxa"/>
            <w:tcBorders>
              <w:bottom w:val="single" w:sz="2" w:space="0" w:color="BFBFBF"/>
            </w:tcBorders>
            <w:vAlign w:val="top"/>
          </w:tcPr>
          <w:p>
            <w:pPr>
              <w:pStyle w:val="TableText"/>
              <w:keepNext/>
            </w:pPr>
            <w:r>
              <w:t xml:space="preserve">SNA protects a typed information schema whose fields are never co-located, so there is nothing to reconstruct; it fails only at t+1 components</w:t>
            </w:r>
          </w:p>
        </w:tc>
      </w:tr>
      <w:tr>
        <w:trPr>
          <w:cantSplit/>
        </w:trPr>
        <w:tc>
          <w:tcPr>
            <w:tcW w:w="2133" w:type="dxa"/>
            <w:tcBorders>
              <w:bottom w:val="single" w:sz="2" w:space="0" w:color="BFBFBF"/>
            </w:tcBorders>
            <w:vAlign w:val="top"/>
          </w:tcPr>
          <w:p>
            <w:pPr>
              <w:pStyle w:val="TableText"/>
              <w:keepNext/>
            </w:pPr>
            <w:r>
              <w:t xml:space="preserve">MPC t-privacy</w:t>
            </w:r>
          </w:p>
        </w:tc>
        <w:tc>
          <w:tcPr>
            <w:tcW w:w="2011" w:type="dxa"/>
            <w:tcBorders>
              <w:bottom w:val="single" w:sz="2" w:space="0" w:color="BFBFBF"/>
            </w:tcBorders>
            <w:vAlign w:val="top"/>
          </w:tcPr>
          <w:p>
            <w:pPr>
              <w:pStyle w:val="TableText"/>
              <w:keepNext/>
            </w:pPr>
            <w:r>
              <w:t xml:space="preserve">Secrecy of input values during protocol execution</w:t>
            </w:r>
          </w:p>
        </w:tc>
        <w:tc>
          <w:tcPr>
            <w:tcW w:w="2243" w:type="dxa"/>
            <w:tcBorders>
              <w:bottom w:val="single" w:sz="2" w:space="0" w:color="BFBFBF"/>
            </w:tcBorders>
            <w:vAlign w:val="top"/>
          </w:tcPr>
          <w:p>
            <w:pPr>
              <w:pStyle w:val="TableText"/>
              <w:keepNext/>
            </w:pPr>
            <w:r>
              <w:t xml:space="preserve">Nothing beyond that party’s own inputs and outputs, up to t parties</w:t>
            </w:r>
          </w:p>
        </w:tc>
        <w:tc>
          <w:tcPr>
            <w:tcW w:w="2972" w:type="dxa"/>
            <w:tcBorders>
              <w:bottom w:val="single" w:sz="2" w:space="0" w:color="BFBFBF"/>
            </w:tcBorders>
            <w:vAlign w:val="top"/>
          </w:tcPr>
          <w:p>
            <w:pPr>
              <w:pStyle w:val="TableText"/>
              <w:keepNext/>
            </w:pPr>
            <w:r>
              <w:t xml:space="preserve">SNA is a property of the information architecture, independent of any protocol; the two are orthogonal</w:t>
            </w:r>
          </w:p>
        </w:tc>
      </w:tr>
      <w:tr>
        <w:trPr>
          <w:cantSplit/>
        </w:trPr>
        <w:tc>
          <w:tcPr>
            <w:tcW w:w="2133" w:type="dxa"/>
            <w:tcBorders>
              <w:bottom w:val="single" w:sz="2" w:space="0" w:color="BFBFBF"/>
            </w:tcBorders>
            <w:vAlign w:val="top"/>
          </w:tcPr>
          <w:p>
            <w:pPr>
              <w:pStyle w:val="TableText"/>
              <w:keepNext/>
            </w:pPr>
            <w:r>
              <w:t xml:space="preserve">Prio</w:t>
            </w:r>
          </w:p>
        </w:tc>
        <w:tc>
          <w:tcPr>
            <w:tcW w:w="2011" w:type="dxa"/>
            <w:tcBorders>
              <w:bottom w:val="single" w:sz="2" w:space="0" w:color="BFBFBF"/>
            </w:tcBorders>
            <w:vAlign w:val="top"/>
          </w:tcPr>
          <w:p>
            <w:pPr>
              <w:pStyle w:val="TableText"/>
              <w:keepNext/>
            </w:pPr>
            <w:r>
              <w:t xml:space="preserve">Aggregate statistics across many clients</w:t>
            </w:r>
          </w:p>
        </w:tc>
        <w:tc>
          <w:tcPr>
            <w:tcW w:w="2243" w:type="dxa"/>
            <w:tcBorders>
              <w:bottom w:val="single" w:sz="2" w:space="0" w:color="BFBFBF"/>
            </w:tcBorders>
            <w:vAlign w:val="top"/>
          </w:tcPr>
          <w:p>
            <w:pPr>
              <w:pStyle w:val="TableText"/>
              <w:keepNext/>
            </w:pPr>
            <w:r>
              <w:t xml:space="preserve">One secret share of a contribution, which reveals nothing alone</w:t>
            </w:r>
          </w:p>
        </w:tc>
        <w:tc>
          <w:tcPr>
            <w:tcW w:w="2972" w:type="dxa"/>
            <w:tcBorders>
              <w:bottom w:val="single" w:sz="2" w:space="0" w:color="BFBFBF"/>
            </w:tcBorders>
            <w:vAlign w:val="top"/>
          </w:tcPr>
          <w:p>
            <w:pPr>
              <w:pStyle w:val="TableText"/>
              <w:keepNext/>
            </w:pPr>
            <w:r>
              <w:t xml:space="preserve">SNA protects each submission’s attribution individually, however many others exist</w:t>
            </w:r>
          </w:p>
        </w:tc>
      </w:tr>
      <w:tr>
        <w:trPr>
          <w:cantSplit/>
        </w:trPr>
        <w:tc>
          <w:tcPr>
            <w:tcW w:w="2133" w:type="dxa"/>
            <w:tcBorders>
              <w:bottom w:val="single" w:sz="12" w:space="0" w:color="000000"/>
            </w:tcBorders>
            <w:vAlign w:val="top"/>
          </w:tcPr>
          <w:p>
            <w:pPr>
              <w:pStyle w:val="TableText"/>
            </w:pPr>
            <w:r>
              <w:t xml:space="preserve">Zero-knowledge proofs</w:t>
            </w:r>
          </w:p>
        </w:tc>
        <w:tc>
          <w:tcPr>
            <w:tcW w:w="2011" w:type="dxa"/>
            <w:tcBorders>
              <w:bottom w:val="single" w:sz="12" w:space="0" w:color="000000"/>
            </w:tcBorders>
            <w:vAlign w:val="top"/>
          </w:tcPr>
          <w:p>
            <w:pPr>
              <w:pStyle w:val="TableText"/>
            </w:pPr>
            <w:r>
              <w:t xml:space="preserve">Proof of credential possession without disclosing the credential</w:t>
            </w:r>
          </w:p>
        </w:tc>
        <w:tc>
          <w:tcPr>
            <w:tcW w:w="2243" w:type="dxa"/>
            <w:tcBorders>
              <w:bottom w:val="single" w:sz="12" w:space="0" w:color="000000"/>
            </w:tcBorders>
            <w:vAlign w:val="top"/>
          </w:tcPr>
          <w:p>
            <w:pPr>
              <w:pStyle w:val="TableText"/>
            </w:pPr>
            <w:r>
              <w:t xml:space="preserve">No identifying data, including under validator compromise</w:t>
            </w:r>
          </w:p>
        </w:tc>
        <w:tc>
          <w:tcPr>
            <w:tcW w:w="2972" w:type="dxa"/>
            <w:tcBorders>
              <w:bottom w:val="single" w:sz="12" w:space="0" w:color="000000"/>
            </w:tcBorders>
            <w:vAlign w:val="top"/>
          </w:tcPr>
          <w:p>
            <w:pPr>
              <w:pStyle w:val="TableText"/>
            </w:pPr>
            <w:r>
              <w:t xml:space="preserve">Orthogonal to SNA: ZK hides which member is proving; SNA limits what any component can assemble</w:t>
            </w:r>
          </w:p>
        </w:tc>
      </w:tr>
    </w:tbl>
    <w:p>
      <w:pPr>
        <w:pStyle w:val="Heading1"/>
      </w:pPr>
      <w:r>
        <w:rPr>
          <w:b/>
          <w:bCs/>
        </w:rPr>
        <w:t xml:space="preserve">3 ARCHITECTURE</w:t>
      </w:r>
    </w:p>
    <w:p>
      <w:pPr>
        <w:pStyle w:val="Heading2"/>
      </w:pPr>
      <w:r>
        <w:rPr>
          <w:b/>
          <w:bCs/>
        </w:rPr>
        <w:t xml:space="preserve">3.1 System Overview</w:t>
      </w:r>
    </w:p>
    <w:p>
      <w:pPr>
        <w:pStyle w:val="BodyText"/>
      </w:pPr>
      <w:r>
        <w:t xml:space="preserve">Credential and content travel on separate paths and are joined only by a hash, never by a key. </w:t>
      </w:r>
      <w:r>
        <w:t xml:space="preserve">The architecture </w:t>
      </w:r>
      <w:r>
        <w:t xml:space="preserve">involves six roles (Table 2):</w:t>
      </w:r>
      <w:r>
        <w:t xml:space="preserve"> </w:t>
      </w:r>
      <w:r>
        <w:t xml:space="preserve">a capture device, a credential processor (C), a credential validator, three independently-keyed gatekeepers each with a paired match board, two content-channel submission servers (F and I), and a verification registry (a consortium blockchain).</w:t>
      </w:r>
      <w:r>
        <w:t xml:space="preserve"> Figure 1 shows the message flow between the roles.</w:t>
      </w:r>
      <w:r>
        <w:t xml:space="preserve"> In this paper, a component is one operator’s deployment of any role in Table 2 other than the capture device (for the registry, one Registry Node), and the compromise results in Section 4 are stated per component.</w:t>
      </w:r>
    </w:p>
    <w:p>
      <w:pPr>
        <w:pStyle w:val="TableCaption"/>
      </w:pPr>
      <w:r>
        <w:rPr>
          <w:b/>
          <w:bCs/>
        </w:rPr>
        <w:t xml:space="preserve">Table 2.</w:t>
      </w:r>
      <w:r>
        <w:t xml:space="preserve"> The six roles, what each does, and where it is described.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57"/>
        <w:gridCol w:w="5829"/>
        <w:gridCol w:w="1274"/>
      </w:tblGrid>
      <w:tr>
        <w:trPr>
          <w:cantSplit/>
          <w:tblHeader w:val="true"/>
        </w:trPr>
        <w:tc>
          <w:tcPr>
            <w:tcW w:w="2257" w:type="dxa"/>
            <w:tcBorders>
              <w:top w:val="single" w:sz="12" w:space="0" w:color="000000"/>
              <w:bottom w:val="single" w:sz="6" w:space="0" w:color="000000"/>
            </w:tcBorders>
            <w:vAlign w:val="bottom"/>
          </w:tcPr>
          <w:p>
            <w:pPr>
              <w:pStyle w:val="TableText"/>
              <w:keepNext/>
            </w:pPr>
            <w:r>
              <w:rPr>
                <w:b/>
                <w:bCs/>
              </w:rPr>
              <w:t xml:space="preserve">Role</w:t>
            </w:r>
          </w:p>
        </w:tc>
        <w:tc>
          <w:tcPr>
            <w:tcW w:w="5829" w:type="dxa"/>
            <w:tcBorders>
              <w:top w:val="single" w:sz="12" w:space="0" w:color="000000"/>
              <w:bottom w:val="single" w:sz="6" w:space="0" w:color="000000"/>
            </w:tcBorders>
            <w:vAlign w:val="bottom"/>
          </w:tcPr>
          <w:p>
            <w:pPr>
              <w:pStyle w:val="TableText"/>
              <w:keepNext/>
            </w:pPr>
            <w:r>
              <w:rPr>
                <w:b/>
                <w:bCs/>
              </w:rPr>
              <w:t xml:space="preserve">Function</w:t>
            </w:r>
          </w:p>
        </w:tc>
        <w:tc>
          <w:tcPr>
            <w:tcW w:w="1274" w:type="dxa"/>
            <w:tcBorders>
              <w:top w:val="single" w:sz="12" w:space="0" w:color="000000"/>
              <w:bottom w:val="single" w:sz="6" w:space="0" w:color="000000"/>
            </w:tcBorders>
            <w:vAlign w:val="bottom"/>
          </w:tcPr>
          <w:p>
            <w:pPr>
              <w:pStyle w:val="TableText"/>
              <w:keepNext/>
            </w:pPr>
            <w:r>
              <w:rPr>
                <w:b/>
                <w:bCs/>
              </w:rPr>
              <w:t xml:space="preserve">Detailed in</w:t>
            </w:r>
          </w:p>
        </w:tc>
      </w:tr>
      <w:tr>
        <w:trPr>
          <w:cantSplit/>
        </w:trPr>
        <w:tc>
          <w:tcPr>
            <w:tcW w:w="2257" w:type="dxa"/>
            <w:tcBorders>
              <w:bottom w:val="single" w:sz="2" w:space="0" w:color="BFBFBF"/>
            </w:tcBorders>
            <w:vAlign w:val="top"/>
          </w:tcPr>
          <w:p>
            <w:pPr>
              <w:pStyle w:val="TableText"/>
              <w:keepNext/>
            </w:pPr>
            <w:r>
              <w:t xml:space="preserve">Capture device</w:t>
            </w:r>
          </w:p>
        </w:tc>
        <w:tc>
          <w:tcPr>
            <w:tcW w:w="5829" w:type="dxa"/>
            <w:tcBorders>
              <w:bottom w:val="single" w:sz="2" w:space="0" w:color="BFBFBF"/>
            </w:tcBorders>
            <w:vAlign w:val="top"/>
          </w:tcPr>
          <w:p>
            <w:pPr>
              <w:pStyle w:val="TableText"/>
              <w:keepNext/>
            </w:pPr>
            <w:r>
              <w:t xml:space="preserve">Generates ContentHash and </w:t>
            </w:r>
            <w:r>
              <w:t xml:space="preserve">the credential packet (which includes a claim about post-capture processing), and sends</w:t>
            </w:r>
            <w:r>
              <w:t xml:space="preserve"> the two channels over disjoint delivery paths</w:t>
            </w:r>
          </w:p>
        </w:tc>
        <w:tc>
          <w:tcPr>
            <w:tcW w:w="1274" w:type="dxa"/>
            <w:tcBorders>
              <w:bottom w:val="single" w:sz="2" w:space="0" w:color="BFBFBF"/>
            </w:tcBorders>
            <w:vAlign w:val="top"/>
          </w:tcPr>
          <w:p>
            <w:pPr>
              <w:pStyle w:val="TableText"/>
              <w:keepNext/>
            </w:pPr>
            <w:r>
              <w:t xml:space="preserve">Section 3.2; G6 (Section 4.2)</w:t>
            </w:r>
          </w:p>
        </w:tc>
      </w:tr>
      <w:tr>
        <w:trPr>
          <w:cantSplit/>
        </w:trPr>
        <w:tc>
          <w:tcPr>
            <w:tcW w:w="2257" w:type="dxa"/>
            <w:tcBorders>
              <w:bottom w:val="single" w:sz="2" w:space="0" w:color="BFBFBF"/>
            </w:tcBorders>
            <w:vAlign w:val="top"/>
          </w:tcPr>
          <w:p>
            <w:pPr>
              <w:pStyle w:val="TableText"/>
              <w:keepNext/>
            </w:pPr>
            <w:r>
              <w:t xml:space="preserve">Credential processor (C)</w:t>
            </w:r>
          </w:p>
        </w:tc>
        <w:tc>
          <w:tcPr>
            <w:tcW w:w="5829" w:type="dxa"/>
            <w:tcBorders>
              <w:bottom w:val="single" w:sz="2" w:space="0" w:color="BFBFBF"/>
            </w:tcBorders>
            <w:vAlign w:val="top"/>
          </w:tcPr>
          <w:p>
            <w:pPr>
              <w:pStyle w:val="TableText"/>
              <w:keepNext/>
            </w:pPr>
            <w:r>
              <w:t xml:space="preserve">Receives the credential channel, wraps PacketHash under a fresh BlindShare_key for the validator round trip, </w:t>
            </w:r>
            <w:r>
              <w:t xml:space="preserve">ring-signs PacketHash with the validator’s verdict</w:t>
            </w:r>
            <w:r>
              <w:t xml:space="preserve">, and fans it out to the three gatekeepers</w:t>
            </w:r>
          </w:p>
        </w:tc>
        <w:tc>
          <w:tcPr>
            <w:tcW w:w="1274" w:type="dxa"/>
            <w:tcBorders>
              <w:bottom w:val="single" w:sz="2" w:space="0" w:color="BFBFBF"/>
            </w:tcBorders>
            <w:vAlign w:val="top"/>
          </w:tcPr>
          <w:p>
            <w:pPr>
              <w:pStyle w:val="TableText"/>
              <w:keepNext/>
            </w:pPr>
            <w:r>
              <w:t xml:space="preserve">Sections 3.2, 3.3</w:t>
            </w:r>
          </w:p>
        </w:tc>
      </w:tr>
      <w:tr>
        <w:trPr>
          <w:cantSplit/>
        </w:trPr>
        <w:tc>
          <w:tcPr>
            <w:tcW w:w="2257" w:type="dxa"/>
            <w:tcBorders>
              <w:bottom w:val="single" w:sz="2" w:space="0" w:color="BFBFBF"/>
            </w:tcBorders>
            <w:vAlign w:val="top"/>
          </w:tcPr>
          <w:p>
            <w:pPr>
              <w:pStyle w:val="TableText"/>
              <w:keepNext/>
            </w:pPr>
            <w:r>
              <w:t xml:space="preserve">Credential validator</w:t>
            </w:r>
          </w:p>
        </w:tc>
        <w:tc>
          <w:tcPr>
            <w:tcW w:w="5829" w:type="dxa"/>
            <w:tcBorders>
              <w:bottom w:val="single" w:sz="2" w:space="0" w:color="BFBFBF"/>
            </w:tcBorders>
            <w:vAlign w:val="top"/>
          </w:tcPr>
          <w:p>
            <w:pPr>
              <w:pStyle w:val="TableText"/>
              <w:keepNext/>
            </w:pPr>
            <w:r>
              <w:t xml:space="preserve">Confirms that a credential belongs to a registered device</w:t>
            </w:r>
            <w:r>
              <w:t xml:space="preserve">, judges the device’s claim, and signs the resulting verdict with the wrapped Enc_PacketHash without reading it</w:t>
            </w:r>
          </w:p>
        </w:tc>
        <w:tc>
          <w:tcPr>
            <w:tcW w:w="1274" w:type="dxa"/>
            <w:tcBorders>
              <w:bottom w:val="single" w:sz="2" w:space="0" w:color="BFBFBF"/>
            </w:tcBorders>
            <w:vAlign w:val="top"/>
          </w:tcPr>
          <w:p>
            <w:pPr>
              <w:pStyle w:val="TableText"/>
              <w:keepNext/>
            </w:pPr>
            <w:r>
              <w:t xml:space="preserve">Section 3.2</w:t>
            </w:r>
          </w:p>
        </w:tc>
      </w:tr>
      <w:tr>
        <w:trPr>
          <w:cantSplit/>
        </w:trPr>
        <w:tc>
          <w:tcPr>
            <w:tcW w:w="2257" w:type="dxa"/>
            <w:tcBorders>
              <w:bottom w:val="single" w:sz="2" w:space="0" w:color="BFBFBF"/>
            </w:tcBorders>
            <w:vAlign w:val="top"/>
          </w:tcPr>
          <w:p>
            <w:pPr>
              <w:pStyle w:val="TableText"/>
              <w:keepNext/>
            </w:pPr>
            <w:r>
              <w:t xml:space="preserve">Gatekeepers (three, each with a paired match board)</w:t>
            </w:r>
          </w:p>
        </w:tc>
        <w:tc>
          <w:tcPr>
            <w:tcW w:w="5829" w:type="dxa"/>
            <w:tcBorders>
              <w:bottom w:val="single" w:sz="2" w:space="0" w:color="BFBFBF"/>
            </w:tcBorders>
            <w:vAlign w:val="top"/>
          </w:tcPr>
          <w:p>
            <w:pPr>
              <w:pStyle w:val="TableText"/>
              <w:keepNext/>
            </w:pPr>
            <w:r>
              <w:t xml:space="preserve">Each independently verifies the validator’s signature and C’s ring signature, counter-signs, and posts to its own board after a randomized hold</w:t>
            </w:r>
          </w:p>
        </w:tc>
        <w:tc>
          <w:tcPr>
            <w:tcW w:w="1274" w:type="dxa"/>
            <w:tcBorders>
              <w:bottom w:val="single" w:sz="2" w:space="0" w:color="BFBFBF"/>
            </w:tcBorders>
            <w:vAlign w:val="top"/>
          </w:tcPr>
          <w:p>
            <w:pPr>
              <w:pStyle w:val="TableText"/>
              <w:keepNext/>
            </w:pPr>
            <w:r>
              <w:t xml:space="preserve">Sections 3.3, 3.4</w:t>
            </w:r>
          </w:p>
        </w:tc>
      </w:tr>
      <w:tr>
        <w:trPr>
          <w:cantSplit/>
        </w:trPr>
        <w:tc>
          <w:tcPr>
            <w:tcW w:w="2257" w:type="dxa"/>
            <w:tcBorders>
              <w:bottom w:val="single" w:sz="2" w:space="0" w:color="BFBFBF"/>
            </w:tcBorders>
            <w:vAlign w:val="top"/>
          </w:tcPr>
          <w:p>
            <w:pPr>
              <w:pStyle w:val="TableText"/>
              <w:keepNext/>
            </w:pPr>
            <w:r>
              <w:t xml:space="preserve">Content-channel submission servers (F and I)</w:t>
            </w:r>
          </w:p>
        </w:tc>
        <w:tc>
          <w:tcPr>
            <w:tcW w:w="5829" w:type="dxa"/>
            <w:tcBorders>
              <w:bottom w:val="single" w:sz="2" w:space="0" w:color="BFBFBF"/>
            </w:tcBorders>
            <w:vAlign w:val="top"/>
          </w:tcPr>
          <w:p>
            <w:pPr>
              <w:pStyle w:val="TableText"/>
              <w:keepNext/>
            </w:pPr>
            <w:r>
              <w:t xml:space="preserve">Each receives the content channel directly, recomputes PacketHash, </w:t>
            </w:r>
            <w:r>
              <w:t xml:space="preserve">checks it against the two-of-three board quorum, takes the verdict from the quorum, and submits</w:t>
            </w:r>
            <w:r>
              <w:t xml:space="preserve"> a signed entry to the registry</w:t>
            </w:r>
          </w:p>
        </w:tc>
        <w:tc>
          <w:tcPr>
            <w:tcW w:w="1274" w:type="dxa"/>
            <w:tcBorders>
              <w:bottom w:val="single" w:sz="2" w:space="0" w:color="BFBFBF"/>
            </w:tcBorders>
            <w:vAlign w:val="top"/>
          </w:tcPr>
          <w:p>
            <w:pPr>
              <w:pStyle w:val="TableText"/>
              <w:keepNext/>
            </w:pPr>
            <w:r>
              <w:t xml:space="preserve">Sections 3.3, 3.4</w:t>
            </w:r>
          </w:p>
        </w:tc>
      </w:tr>
      <w:tr>
        <w:trPr>
          <w:cantSplit/>
        </w:trPr>
        <w:tc>
          <w:tcPr>
            <w:tcW w:w="2257" w:type="dxa"/>
            <w:tcBorders>
              <w:bottom w:val="single" w:sz="12" w:space="0" w:color="000000"/>
            </w:tcBorders>
            <w:vAlign w:val="top"/>
          </w:tcPr>
          <w:p>
            <w:pPr>
              <w:pStyle w:val="TableText"/>
            </w:pPr>
            <w:r>
              <w:t xml:space="preserve">Verification registry (consortium blockchain)</w:t>
            </w:r>
          </w:p>
        </w:tc>
        <w:tc>
          <w:tcPr>
            <w:tcW w:w="5829" w:type="dxa"/>
            <w:tcBorders>
              <w:bottom w:val="single" w:sz="12" w:space="0" w:color="000000"/>
            </w:tcBorders>
            <w:vAlign w:val="top"/>
          </w:tcPr>
          <w:p>
            <w:pPr>
              <w:pStyle w:val="TableText"/>
            </w:pPr>
            <w:r>
              <w:t xml:space="preserve">Finalizes a content hash once two distinctly signed entries agree, and answers public queries</w:t>
            </w:r>
          </w:p>
        </w:tc>
        <w:tc>
          <w:tcPr>
            <w:tcW w:w="1274" w:type="dxa"/>
            <w:tcBorders>
              <w:bottom w:val="single" w:sz="12" w:space="0" w:color="000000"/>
            </w:tcBorders>
            <w:vAlign w:val="top"/>
          </w:tcPr>
          <w:p>
            <w:pPr>
              <w:pStyle w:val="TableText"/>
            </w:pPr>
            <w:r>
              <w:t xml:space="preserve">Sections 3.3, 3.5</w:t>
            </w:r>
          </w:p>
        </w:tc>
      </w:tr>
    </w:tbl>
    <w:p>
      <w:pPr>
        <w:pStyle w:val="BodyText"/>
        <w:spacing w:before="200"/>
      </w:pPr>
      <w:r>
        <w:t xml:space="preserve">Device registration is a prerequisite outside the scope of this architecture; credential provisioning is deployment-specific and may involve manufacturer enrollment, device initialization protocols, or similar mechanisms. The architecture defines what a credential validator must do (</w:t>
      </w:r>
      <w:r>
        <w:t xml:space="preserve">accept a submitted credential and a claim, and return a signed verdict or a rejection</w:t>
      </w:r>
      <w:r>
        <w:t xml:space="preserve">) without prescribing how enrollment is managed.</w:t>
      </w:r>
    </w:p>
    <w:p>
      <w:pPr>
        <w:pStyle w:val="BodyText"/>
      </w:pPr>
      <w:r>
        <w:t xml:space="preserve">Certified processing software (Section 4.2, G3) is a further, optional role: software that performs a deliberate edit to already-registered content and submits the result as a new transaction in its own right, with the editing application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t xml:space="preserve">.</w:t>
      </w:r>
      <w:r>
        <w:t xml:space="preserve"> The application’s claim is its measured deviation from the parent record (Section 4.2, G3), and the developer’s server judges it.</w:t>
      </w:r>
    </w:p>
    <w:p>
      <w:pPr>
        <w:pStyle w:val="Figure"/>
        <w:keepNext/>
        <w:jc w:val="center"/>
      </w:pPr>
      <w: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ImageCaption"/>
      </w:pPr>
      <w:r>
        <w:rPr>
          <w:i/>
        </w:rPr>
        <w:t xml:space="preserve">Figure 1. Message flow. The device sends its credential packet through a three-hop relay to C, which consults the Credential Validation Server and passes the validation packet to three gatekeepers and their Match Boards, and two copies of its content packet (shaded) through separate relays to F and I. F and I check the boards before submitting to the Blockchain Registry Node.</w:t>
      </w:r>
    </w:p>
    <w:p>
      <w:pPr>
        <w:pStyle w:val="Heading2"/>
      </w:pPr>
      <w:r>
        <w:rPr>
          <w:b/>
          <w:bCs/>
        </w:rPr>
        <w:t xml:space="preserve">3.2 Data Channels</w:t>
      </w:r>
    </w:p>
    <w:p>
      <w:pPr>
        <w:pStyle w:val="BodyText"/>
      </w:pPr>
      <w:r>
        <w:t xml:space="preserve">The architecture separates each submission into two independent data channels.</w:t>
      </w:r>
    </w:p>
    <w:p>
      <w:pPr>
        <w:pStyle w:val="BodyText"/>
      </w:pPr>
      <w:r>
        <w:rPr>
          <w:b/>
          <w:bCs/>
        </w:rPr>
        <w:t xml:space="preserve">The content channel</w:t>
      </w:r>
      <w:r>
        <w:t xml:space="preserve"> carries: a hash of the media content (ContentHash), derived by the capture device at the time of capture using SHA-256, applied uniformly rather than left to per-device choice, since a verifier recomputing the hash locally </w:t>
      </w:r>
      <w:r>
        <w:t xml:space="preserve">(Section 3.5)</w:t>
      </w:r>
      <w:r>
        <w:t xml:space="preserve"> has no channel through which to learn which algorithm a given device used; a single-use nonce n (at least 128 bits, generated by a cryptographically secure random number generator) the device generates for this submission; </w:t>
      </w:r>
      <w:r>
        <w:t xml:space="preserve">optional hashed metadata (timestamp, location) that enables selective disclosure without revealing values on-chain; and, for an edit, the parent record’s ContentHash.</w:t>
      </w:r>
    </w:p>
    <w:p>
      <w:pPr>
        <w:pStyle w:val="BodyText"/>
      </w:pPr>
      <w:r>
        <w:t xml:space="preserve">The device transmits the content channel to each of the two submission servers independently, via delivery paths each satisfying G6 (Section 4.2), so that neither submission server observes the device’s originating network address. Each copy is encrypted under the relay-terminus key of the server it is addressed to, the same relay-terminus scheme that protects the credential channel (below); a passive network observer without that specific server's key sees only ciphertext, not ContentHash or n.</w:t>
      </w:r>
      <w:r>
        <w:t xml:space="preserve"> The content channel carries no modification level: the verdict comes from the validator and reaches F and I through the gatekeeper quorum (Section 3.3).</w:t>
      </w:r>
      <w:r>
        <w:t xml:space="preserve"/>
      </w:r>
    </w:p>
    <w:p>
      <w:pPr>
        <w:pStyle w:val="BodyText"/>
      </w:pPr>
      <w:r>
        <w:t xml:space="preserve">PacketHash is computed over everything this channel carries: ContentHash, n, and the optional fields (the hashed metadata and, for an edit, the parent ContentHash), in a fixed encoding that begins with a one-byte flags field marking which optional fields are present. The flags field travels in the content channel, and the two servers’ signatures and the registry record carry it, so the servers and the registry all work from the same encoding.</w:t>
      </w:r>
    </w:p>
    <w:p>
      <w:pPr>
        <w:pStyle w:val="BodyText"/>
      </w:pPr>
      <w:r>
        <w:rPr>
          <w:b/>
          <w:bCs/>
        </w:rPr>
        <w:t xml:space="preserve">The credential channel</w:t>
      </w:r>
      <w:r>
        <w:t xml:space="preserve"> carries: an encrypted device token (</w:t>
      </w:r>
      <w:r>
        <w:t xml:space="preserve">the device’s hardware credential and its claim about post-capture processing, encrypted under key material held exclusively by the credential validator</w:t>
      </w:r>
      <w:r>
        <w:t xml:space="preserve">); a key reference identifying which decryption key table and index the validator should use; and PacketHash = hash(</w:t>
      </w:r>
      <w:r>
        <w:t xml:space="preserve">ContentHash, n, optional fields), included in the clear</w:t>
      </w:r>
      <w:r>
        <w:t xml:space="preserve"> relative to this leg. Neither the token nor PacketHash is separately keyed for a specific recipient at this stage; both travel inside the credential packet under the same relay-terminus encryption (C-device_pk) every packet addressed to the credential processor (C) uses, and PacketHash becomes visible to C the moment it opens its own envelope. The device transmits the credential channel to C via a delivery path disjoint from the content channel and satisfying the same network-identity requirement: neither a content-channel server nor any intermediary on the content channel’s path ever receives credential-channel data, neither C nor any intermediary on its path ever receives ContentHash or n, and no intermediary on either path ever observes the device’s originating network address.</w:t>
      </w:r>
    </w:p>
    <w:p>
      <w:pPr>
        <w:pStyle w:val="BodyText"/>
      </w:pPr>
      <w:r>
        <w:t xml:space="preserve">C retains PacketHash locally and generates a fresh, single-use symmetric key (BlindShare_key) for this transaction only. It encrypts PacketHash under BlindShare_key, bundles the result with the still-encrypted device token, the key reference the device supplied, and a transaction identifier, and forwards the bundle to the credential validator under the validator’s transit key. The validator decrypts that transit wrapper, decrypts the device token with its own key (V-token_sk), and uses the forwarded key reference to select which key-table entry to check membership against.</w:t>
      </w:r>
      <w:r>
        <w:t xml:space="preserve"> The token also carries the device’s claim about post-capture processing: zero for an unedited capture and, for an edit, the editing software’s measured deviation from the parent record (Section 4.2, G3).</w:t>
      </w:r>
    </w:p>
    <w:p>
      <w:pPr>
        <w:pStyle w:val="BodyText"/>
      </w:pPr>
      <w:r>
        <w:t xml:space="preserve">If the credential is registered, the validator judges the claim and derives a verdict: one byte holding a modified bit and a deviation bucket (one of four).</w:t>
      </w:r>
      <w:r>
        <w:t xml:space="preserve"> The editing application and its developer set where one bucket ends and the next begins; the protocol carries the bucket and treats it as an opaque value.</w:t>
      </w:r>
      <w:r>
        <w:t xml:space="preserve"> It cannot decrypt the BlindShare_key-wrapped PacketHash (Enc_PacketHash), since it never holds BlindShare_key. </w:t>
      </w:r>
      <w:r>
        <w:t xml:space="preserve">It signs the verdict together with Enc_PacketHash, using a separate signing key held only for this purpose (V-sign_sk, never used to decrypt anything)</w:t>
      </w:r>
      <w:r>
        <w:t xml:space="preserve">, as a member of Ring V (the signing public keys of all registered validators)</w:t>
      </w:r>
      <w:r>
        <w:t xml:space="preserve">, and returns the verdict and signature to C under C’s transit key. A modified verdict is a flagged record, not a rejection. Only an unregistered credential is rejected: the validator returns the decision alone, padded to the same size class as a verdict and carrying no signature, since there is nothing to attest to, and C drops the transaction.</w:t>
      </w:r>
    </w:p>
    <w:p>
      <w:pPr>
        <w:pStyle w:val="BodyText"/>
      </w:pPr>
      <w:r>
        <w:t xml:space="preserve">For a verdict, C verifies σ_V over the verdict and the EncPH it already generated and holds; a failed verification means the signature does not belong to this transaction, and the record is rejected.</w:t>
      </w:r>
      <w:r>
        <w:t xml:space="preserve"> This construction keeps PacketHash unreadable to the validator without requiring any key to be provisioned in advance: BlindShare_key exists only for the duration of one round trip and belongs to no one but C, which generated it.</w:t>
      </w:r>
    </w:p>
    <w:p>
      <w:pPr>
        <w:pStyle w:val="BodyText"/>
      </w:pPr>
      <w:r>
        <w:t xml:space="preserve">Each of the two content-channel submission servers, having received the content channel directly from the device, independently computes its own candidate PacketHash′ = hash(</w:t>
      </w:r>
      <w:r>
        <w:t xml:space="preserve">ContentHash, n, optional fields) and checks it against</w:t>
      </w:r>
      <w:r>
        <w:t xml:space="preserve"> the two-of-three gatekeeper quorum (Section 3.3); </w:t>
      </w:r>
      <w:r>
        <w:t xml:space="preserve">this binds a validator verdict to one specific submission and prevents a previously issued verdict from being replayed</w:t>
      </w:r>
      <w:r>
        <w:t xml:space="preserve"> against a different content hash.</w:t>
      </w:r>
      <w:r>
        <w:t xml:space="preserve"> Because PacketHash covers the optional fields, a content packet whose optional fields differ from what the device sent yields a different PacketHash′, which no quorum covers. A compromised server therefore cannot get the other to sign altered optional fields.</w:t>
      </w:r>
    </w:p>
    <w:p>
      <w:pPr>
        <w:pStyle w:val="BodyText"/>
      </w:pPr>
      <w:r>
        <w:t xml:space="preserve">No single party other than C ever holds PacketHash alongside the token it accompanies. </w:t>
      </w:r>
      <w:r>
        <w:t xml:space="preserve">Neither content-channel submission server ever observes the credential channel at all; each only ever sees its own candidate and, later, the gatekeepers’ posted quorum. The nonce n is discarded once each check succeeds and is never posted to the registry, so a party who later obtains PacketHash from a compromised log cannot use it to test candidate content against the permanent public registry, since recomputing PacketHash requires n. </w:t>
      </w:r>
      <w:r>
        <w:t xml:space="preserve">BlindShare_key and the validator-signed Enc_PacketHash are both discarded by C once the fan-out to all three gatekeepers is sent.</w:t>
      </w:r>
      <w:r>
        <w:t xml:space="preserve"> The Addressed-hop server (A, D, or G) that decrypts the routing code accompanying the payload on the first relay hop is under the same obligation: it discards the routing code immediately after re-encrypting the still-opaque payload toward </w:t>
      </w:r>
      <w:r>
        <w:t xml:space="preserve">the next hop its routing table assigns to that code</w:t>
      </w:r>
      <w:r>
        <w:t xml:space="preserve">, retaining no record of which code accompanied a given forwarded packet. No residual record of the credential-side artifacts that produced a given posting survives at any of these parties, since retaining that pairing even after discarding the key would leave the linkage recoverable by inspection. </w:t>
      </w:r>
      <w:r>
        <w:t xml:space="preserve">Section 6.2 describes how this requirement is audited.</w:t>
      </w:r>
    </w:p>
    <w:p>
      <w:pPr>
        <w:pStyle w:val="BodyText"/>
      </w:pPr>
      <w:r>
        <w:t xml:space="preserve">Disjoint delivery (G6, Section 4.2) and encryption of PacketHash address different adversaries and are both necessary</w:t>
      </w:r>
      <w:r>
        <w:t xml:space="preserve">.</w:t>
      </w:r>
    </w:p>
    <w:p>
      <w:pPr>
        <w:pStyle w:val="BodyText"/>
      </w:pPr>
      <w:r>
        <w:t xml:space="preserve">G6 is satisfied by any delivery mechanism, independent network paths, an anonymizing relay layer, or an equivalent construction, that </w:t>
      </w:r>
      <w:r>
        <w:t xml:space="preserve">keeps the first-hop recipients of a submission distinct from one another and its destinations distinct from one another, in which a server that happens to handle packets of more than one path, as an intermediary or as the first hop of one path and the destination of another, cannot tell which of its packets belong to the same submission,</w:t>
      </w:r>
      <w:r>
        <w:t xml:space="preserve"> and in which each channel’s relay terminates the device’s connection and originates a fresh one to the actual destination, </w:t>
      </w:r>
      <w:r>
        <w:t xml:space="preserve">so that neither a content-channel submission server nor C observes the device’s originating address in receiving its own channel.</w:t>
      </w:r>
      <w:r>
        <w:t xml:space="preserve"> A single relay handling both channels for the same device would reintroduce exactly the co-location this goal exists to prevent; the two channels require independent relays. How the device addresses the relay layer, through the device table and the assignment of routes, is specified in [3].</w:t>
      </w:r>
    </w:p>
    <w:p>
      <w:pPr>
        <w:pStyle w:val="BodyText"/>
      </w:pPr>
      <w:r>
        <w:t xml:space="preserve">A compliant delivery mechanism additionally randomizes transmission timing, pads channel traffic to a size drawn randomly within a common traffic-size class rather than a single constant byte count, since exact size constancy across every transmission would itself be a distinguishing signal, and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They do not claim information-theoretic resistance to traffic analysis, and they do not foreclose a sufficiently capable adversary’s statistical correlation of timing, volume, or other side-channel information across many observed transactions. Appendix D reports an empirical evaluation of exactly this question. The gatekeeper fan-out (Section 3.3) uses its own, larger size class rather than the common one above, since the ring signature over C’s candidate pool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pPr>
      <w:r>
        <w:t xml:space="preserve">G6 also constrains any forwarding metadata a relay hop needs in order to perform its own routing decision, not only the channel payload itself: such metadata must be encrypted such that only the hop that needs to act on it can read it, never transmitted in the clear alongside an otherwise-opaque payload. A plaintext routing marker would identify a channel as directly as an unpadded packet size would.</w:t>
      </w:r>
    </w:p>
    <w:p>
      <w:pPr>
        <w:pStyle w:val="Heading2"/>
      </w:pPr>
      <w:r>
        <w:rPr>
          <w:b/>
          <w:bCs/>
        </w:rPr>
        <w:t xml:space="preserve">3.3 Validation and Registry Posting</w:t>
      </w:r>
    </w:p>
    <w:p>
      <w:pPr>
        <w:pStyle w:val="BodyText"/>
      </w:pPr>
      <w:r>
        <w:t xml:space="preserve">The system never receives, stores, or processes media content at any stage. Once its own check succeeds (Section 3.2), the credential processor (C) </w:t>
      </w:r>
      <w:r>
        <w:t xml:space="preserve">signs PacketHash and the verdict as a member</w:t>
      </w:r>
      <w:r>
        <w:t xml:space="preserve"> of its eligible candidate pool, using an unlinkable ring signature rather than a single, identifiable key, then fans the validation packet out to three independently-keyed gatekeepers, encrypted separately under each one’s own relay-terminus key: PacketHash in the clear</w:t>
      </w:r>
      <w:r>
        <w:t xml:space="preserve"> and the verdict</w:t>
      </w:r>
      <w:r>
        <w:t xml:space="preserve">, </w:t>
      </w:r>
      <w:r>
        <w:t xml:space="preserve">the validator’s ring signature, BlindShare_key itself</w:t>
      </w:r>
      <w:r>
        <w:t xml:space="preserve">, and C’s signature over PacketHash</w:t>
      </w:r>
      <w:r>
        <w:t xml:space="preserve"> and the verdict</w:t>
      </w:r>
      <w:r>
        <w:t xml:space="preserve">. Encrypting separately for each recipient means a compromised transit key exposes what was sent to one gatekeeper, not all three.</w:t>
      </w:r>
    </w:p>
    <w:p>
      <w:pPr>
        <w:pStyle w:val="BodyText"/>
      </w:pPr>
      <w:r>
        <w:t xml:space="preserve">Each gatekeeper independently verifies two things before it will act: the validator’s signature, </w:t>
      </w:r>
      <w:r>
        <w:t xml:space="preserve">verified against Ring V (it shows that some registered validator signed, not which one),</w:t>
      </w:r>
      <w:r>
        <w:t xml:space="preserve"> over </w:t>
      </w:r>
      <w:r>
        <w:t xml:space="preserve">the verdict concatenated with EncPH</w:t>
      </w:r>
      <w:r>
        <w:t xml:space="preserve">, which it recomputes from BlindShare_key and PacketHash, so a mismatch fails verification;</w:t>
      </w:r>
      <w:r>
        <w:t xml:space="preserve"> </w:t>
      </w:r>
      <w:r>
        <w:t xml:space="preserve">and C’s signature over that same PacketHash and verdict,</w:t>
      </w:r>
      <w:r>
        <w:t xml:space="preserve"> verified as belonging to some member of C’s eligible candidate pool rather than against a single, identifiable key. </w:t>
      </w:r>
      <w:r>
        <w:t xml:space="preserve">Without a ring signature, a compromised node’s own</w:t>
      </w:r>
      <w:r>
        <w:t xml:space="preserve"> exact fan-out timing would let it search all registered pool members for the one whose relay timing coincides with its own arrival, recovering C’s identity from timing alone rather than from any decrypted key.</w:t>
      </w:r>
      <w:r>
        <w:t xml:space="preserve"/>
      </w:r>
    </w:p>
    <w:p>
      <w:pPr>
        <w:pStyle w:val="BodyText"/>
      </w:pPr>
      <w:r>
        <w:t xml:space="preserve">Neither check substitutes for the other: </w:t>
      </w:r>
      <w:r>
        <w:t xml:space="preserve">the validator’s signature confirms that the validator judged a registered device’s claim and issued this verdict, and C’s signature confirms C itself witnessed that verdict before signing</w:t>
      </w:r>
      <w:r>
        <w:t xml:space="preserve">, which matters because what a gatekeeper ultimately posts, and what the boards and the content-channel servers later check, is built on C’s signature, not the validator’s own.</w:t>
      </w:r>
      <w:r>
        <w:t xml:space="preserve"> Both signatures cover the verdict, so no party after the validator can change it.</w:t>
      </w:r>
    </w:p>
    <w:p>
      <w:pPr>
        <w:pStyle w:val="BodyText"/>
      </w:pPr>
      <w:r>
        <w:t xml:space="preserve">Ring R, the ring over which σ_C is verified, explicitly excludes the three currently active gatekeepers’ own ring-signing keys. This is a role-separation requirement: all registered submission servers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pPr>
      <w:r>
        <w:t xml:space="preserve">Once both checks pass, a gatekeeper signs C’s signature with its own submission-server signing key and, after </w:t>
      </w:r>
      <w:r>
        <w:t xml:space="preserve">the same randomized timing hold G6 requires of channel traffic (hold values in Section 3.4)</w:t>
      </w:r>
      <w:r>
        <w:t xml:space="preserve"> rather than posting immediately, posts the result, its own signature chained over C’s, to its own paired match board</w:t>
      </w:r>
      <w:r>
        <w:t xml:space="preserve">, discarding BlindShare_key and the validator’s signature immediately</w:t>
      </w:r>
      <w:r>
        <w:t xml:space="preserve">.</w:t>
      </w:r>
      <w:r>
        <w:t xml:space="preserve"> An immediate post would let a compromised content-channel server infer C’s fan-out timing from the gatekeeper’s own posting time; Appendix D evaluates the protocol with this hold in place but does not test its removal (Appendix D.5).</w:t>
      </w:r>
    </w:p>
    <w:p>
      <w:pPr>
        <w:pStyle w:val="BodyText"/>
      </w:pPr>
      <w:r>
        <w:t xml:space="preserve">The three match boards operate independently: each is paired with exactly one gatekeeper, and neither the gatekeepers nor the boards coordinate with each other during posting. A content-channel submission server checks a candidate PacketHash against all three boards, confirming each posting carries a valid signature from that board’s own gatekeeper chained over a valid signature from C over the same value. </w:t>
      </w:r>
      <w:r>
        <w:t xml:space="preserve">The server proceeds only once the same PacketHash and verdict, backed by both valid signatures, appear on at least two of the three, rather than trusting any single board’s report. The verdict it records is the one the quorum agrees on.</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PacketHash C never actually approved. Replaying a genuine, already-approved C-signature onto a fabricated PacketHash fails the same way forging one would</w:t>
      </w:r>
      <w:r>
        <w:t xml:space="preserve">. </w:t>
      </w:r>
      <w:r>
        <w:t xml:space="preserve">Appendix A.4 verifies </w:t>
      </w:r>
      <w:r>
        <w:t xml:space="preserve">that no pair of PacketHash and verdict reaches a two-board quorum unless the validator issued that pair</w:t>
      </w:r>
      <w:r>
        <w:t xml:space="preserve">, both when one gatekeeper’s complete key set is compromised and when two of the three are.</w:t>
      </w:r>
    </w:p>
    <w:p>
      <w:pPr>
        <w:pStyle w:val="BodyText"/>
      </w:pPr>
      <w:r>
        <w:t xml:space="preserve">Each content-channel submission server, having independently computed its own candidate PacketHash′ = hash(</w:t>
      </w:r>
      <w:r>
        <w:t xml:space="preserve">ContentHash, n, optional fields) from the content channel</w:t>
      </w:r>
      <w:r>
        <w:t xml:space="preserve"> it received directly from the device, checks this two-of-three quorum, and if satisfied, signs and submits its own entry, </w:t>
      </w:r>
      <w:r>
        <w:t xml:space="preserve">carrying ContentHash together with the quorum’s verdict and any optional fields the device supplied</w:t>
      </w:r>
      <w:r>
        <w:t xml:space="preserve">, all covered by its signature, to the verification registry using a registry-signing key held only for this purpose, separate from the relay-terminus key that decrypted its own content channel: no key at either server does both jobs. The registry finalizes a content 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 since it cannot produce the other server’s signature. </w:t>
      </w:r>
      <w:r>
        <w:t xml:space="preserve">Together these checks make single-server forgery infeasible at every stage.</w:t>
      </w:r>
      <w:r>
        <w:t xml:space="preserve"> The registry’s write rule additionally collapses duplicate submissions: if a record with the same content hash already exists, a new submission attempting to post that hash is recognized against the existing record rather than creating a second entry with a later timestamp. </w:t>
      </w:r>
      <w:r>
        <w:t xml:space="preserve">This stops a signed PacketHash being posted twice to make existing content appear newly authenticated.</w:t>
      </w:r>
    </w:p>
    <w:p>
      <w:pPr>
        <w:pStyle w:val="BodyText"/>
      </w:pPr>
      <w:r>
        <w:t xml:space="preserve">Once finalized, the registry record contains: the content hash, </w:t>
      </w:r>
      <w:r>
        <w:t xml:space="preserve">the validator’s verdict (one byte: a modified bit and a four-class deviation bucket, zero for an unedited capture), a flags byte marking which optional fields are present, the parent record’s content hash when the submission is an edit,</w:t>
      </w:r>
      <w:r>
        <w:t xml:space="preserve"> an optional hash of the submitted metadata, </w:t>
      </w:r>
      <w:r>
        <w:t xml:space="preserve">and a posting timestamp</w:t>
      </w:r>
      <w:r>
        <w:t xml:space="preserve"> rounded to a privacy-preserving interval.</w:t>
      </w:r>
      <w:r>
        <w:t xml:space="preserve"> The registry verifies the two servers’ signatures when it receives their entries and then discards them, so the record holds no signature and names neither server.</w:t>
      </w:r>
      <w:r>
        <w:t xml:space="preserve"> The registry record contains no device identifier, no manufacturer identifier, and no information that allows an observer to determine which device produced which content</w:t>
      </w:r>
      <w:r>
        <w:t xml:space="preserve">.</w:t>
      </w:r>
      <w:r>
        <w:t xml:space="preserve"> No signature from the validator, the credential processor or a gatekeeper is posted to the registry: the validator’s signature goes no further than the gatekeepers, which discard it, and the other two stay on the match boards. </w:t>
      </w:r>
      <w:r>
        <w:t xml:space="preserve">The two servers’ signatures, which the registry checks and then discards, cover the verdict as they cover every other field.</w:t>
      </w:r>
    </w:p>
    <w:p>
      <w:pPr>
        <w:pStyle w:val="BodyText"/>
      </w:pPr>
      <w:r>
        <w:t xml:space="preserve">The Birthmark Registry, a consortium blockchain, is used rather than a simpler append-only transparency log (such as Certificate Transparency) because append-only ledgers alone do not protect against compelled censorship.</w:t>
      </w:r>
      <w:r>
        <w:t xml:space="preserve"> The Birthmark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t xml:space="preserve"> The registry uses the Substrate framework, which supports permissioned deployments with controlled validator sets independent of any public cryptocurrency.</w:t>
      </w:r>
    </w:p>
    <w:p>
      <w:pPr>
        <w:pStyle w:val="Heading2"/>
      </w:pPr>
      <w:r>
        <w:rPr>
          <w:b/>
          <w:bCs/>
        </w:rPr>
        <w:t xml:space="preserve">3.4 Timing</w:t>
      </w:r>
    </w:p>
    <w:p>
      <w:pPr>
        <w:pStyle w:val="BodyText"/>
      </w:pPr>
      <w:r>
        <w:t xml:space="preserve">Every hold in the protocol uses the same lottery shape: a 10-second tick, geometric release, with unconditional release at three times the hold’s own mean. Table </w:t>
      </w:r>
      <w:r>
        <w:t xml:space="preserve">3</w:t>
      </w:r>
      <w:r>
        <w:t xml:space="preserve"> gives the mean hold at each stage. The role-aware settings — 240 s on the content channels and on F and I’s own pre-match hold, longer than every other stage — are what the empirical evaluation in Appendix D identifies as the dominant mechanism: without them, a compromised validator leads a passive observer by roughly two points at the primary operating point. No relay hop carries a role-specific parameter, since a relay hop cannot determine whether it is on the credential path or a content path from the opaque ciphertext it forwards.</w:t>
      </w:r>
    </w:p>
    <w:p>
      <w:pPr>
        <w:pStyle w:val="TableCaption"/>
      </w:pPr>
      <w:r>
        <w:rPr>
          <w:b/>
          <w:bCs/>
        </w:rPr>
        <w:t xml:space="preserve">Table </w:t>
      </w:r>
      <w:r>
        <w:rPr>
          <w:b/>
          <w:bCs/>
        </w:rPr>
        <w:t xml:space="preserve">3</w:t>
      </w:r>
      <w:r>
        <w:rPr>
          <w:b/>
          <w:bCs/>
        </w:rPr>
        <w:t xml:space="preserve">.</w:t>
      </w:r>
      <w:r>
        <w:t xml:space="preserve"> Mean hold at each stage. Every hold uses the lottery shape described above.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6361"/>
        <w:gridCol w:w="2998"/>
      </w:tblGrid>
      <w:tr>
        <w:trPr>
          <w:cantSplit/>
          <w:tblHeader w:val="true"/>
        </w:trPr>
        <w:tc>
          <w:tcPr>
            <w:tcW w:w="6361" w:type="dxa"/>
            <w:tcBorders>
              <w:top w:val="single" w:sz="12" w:space="0" w:color="000000"/>
              <w:bottom w:val="single" w:sz="6" w:space="0" w:color="000000"/>
            </w:tcBorders>
            <w:vAlign w:val="bottom"/>
          </w:tcPr>
          <w:p>
            <w:pPr>
              <w:pStyle w:val="TableText"/>
              <w:keepNext/>
            </w:pPr>
            <w:r>
              <w:rPr>
                <w:b/>
                <w:bCs/>
              </w:rPr>
              <w:t xml:space="preserve">Stage</w:t>
            </w:r>
          </w:p>
        </w:tc>
        <w:tc>
          <w:tcPr>
            <w:tcW w:w="2998" w:type="dxa"/>
            <w:tcBorders>
              <w:top w:val="single" w:sz="12" w:space="0" w:color="000000"/>
              <w:bottom w:val="single" w:sz="6" w:space="0" w:color="000000"/>
            </w:tcBorders>
            <w:vAlign w:val="bottom"/>
          </w:tcPr>
          <w:p>
            <w:pPr>
              <w:pStyle w:val="TableText"/>
              <w:keepNext/>
            </w:pPr>
            <w:r>
              <w:rPr>
                <w:b/>
                <w:bCs/>
              </w:rPr>
              <w:t xml:space="preserve">Mean hold</w:t>
            </w:r>
          </w:p>
        </w:tc>
      </w:tr>
      <w:tr>
        <w:trPr>
          <w:cantSplit/>
        </w:trPr>
        <w:tc>
          <w:tcPr>
            <w:tcW w:w="6361" w:type="dxa"/>
            <w:tcBorders>
              <w:bottom w:val="single" w:sz="2" w:space="0" w:color="BFBFBF"/>
            </w:tcBorders>
            <w:vAlign w:val="top"/>
          </w:tcPr>
          <w:p>
            <w:pPr>
              <w:pStyle w:val="TableText"/>
              <w:keepNext/>
            </w:pPr>
            <w:r>
              <w:t xml:space="preserve">Device: each content channel, before first relay</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Device: credential channel, and every relay hop</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C: before sending the credential path forward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Validator: before returning its reply</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C: fan-out to each gatekeeper</w:t>
            </w:r>
          </w:p>
        </w:tc>
        <w:tc>
          <w:tcPr>
            <w:tcW w:w="2998" w:type="dxa"/>
            <w:tcBorders>
              <w:bottom w:val="single" w:sz="2" w:space="0" w:color="BFBFBF"/>
            </w:tcBorders>
            <w:vAlign w:val="top"/>
          </w:tcPr>
          <w:p>
            <w:pPr>
              <w:pStyle w:val="TableText"/>
              <w:keepNext/>
            </w:pPr>
            <w:r>
              <w:t xml:space="preserve">60 s, an independent draw per leg, so the three legs do not depart together</w:t>
            </w:r>
          </w:p>
        </w:tc>
      </w:tr>
      <w:tr>
        <w:trPr>
          <w:cantSplit/>
        </w:trPr>
        <w:tc>
          <w:tcPr>
            <w:tcW w:w="6361" w:type="dxa"/>
            <w:tcBorders>
              <w:bottom w:val="single" w:sz="2" w:space="0" w:color="BFBFBF"/>
            </w:tcBorders>
            <w:vAlign w:val="top"/>
          </w:tcPr>
          <w:p>
            <w:pPr>
              <w:pStyle w:val="TableText"/>
              <w:keepNext/>
            </w:pPr>
            <w:r>
              <w:t xml:space="preserve">F and I: pre-match, before checking the boards</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F and I: post-match, after quorum is confirmed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12" w:space="0" w:color="000000"/>
            </w:tcBorders>
            <w:vAlign w:val="top"/>
          </w:tcPr>
          <w:p>
            <w:pPr>
              <w:pStyle w:val="TableText"/>
            </w:pPr>
            <w:r>
              <w:t xml:space="preserve">Gatekeeper departure-bundle lottery</w:t>
            </w:r>
          </w:p>
        </w:tc>
        <w:tc>
          <w:tcPr>
            <w:tcW w:w="2998" w:type="dxa"/>
            <w:tcBorders>
              <w:bottom w:val="single" w:sz="12" w:space="0" w:color="000000"/>
            </w:tcBorders>
            <w:vAlign w:val="top"/>
          </w:tcPr>
          <w:p>
            <w:pPr>
              <w:pStyle w:val="TableText"/>
            </w:pPr>
            <w:r>
              <w:t xml:space="preserve">30 s boundaries, 25% chance of boarding at each, unconditional inclusion at the 12th</w:t>
            </w:r>
          </w:p>
        </w:tc>
      </w:tr>
    </w:tbl>
    <w:p>
      <w:pPr>
        <w:pStyle w:val="BodyText"/>
        <w:spacing w:before="200"/>
      </w:pPr>
      <w:r>
        <w:t xml:space="preserve">Once a gatekeeper’s hold has expired, a posting enters a departure bundle lottery rather than transmitting immediately (last row of Table </w:t>
      </w:r>
      <w:r>
        <w:t xml:space="preserve">3</w:t>
      </w:r>
      <w: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Sixty decoy transactions from registered decoy identities are in flight at all times; each produces a permanent registry record structurally identical to a real one.</w:t>
      </w:r>
    </w:p>
    <w:p>
      <w:pPr>
        <w:pStyle w:val="Heading2"/>
      </w:pPr>
      <w:r>
        <w:rPr>
          <w:b/>
          <w:bCs/>
        </w:rPr>
        <w:t xml:space="preserve">3.5</w:t>
      </w:r>
      <w:r>
        <w:rPr>
          <w:b/>
          <w:bCs/>
        </w:rPr>
        <w:t xml:space="preserve"> Verification</w:t>
      </w:r>
    </w:p>
    <w:p>
      <w:pPr>
        <w:pStyle w:val="BodyText"/>
      </w:pPr>
      <w:r>
        <w:t xml:space="preserve">Public verification requires only the media content. A verifier computes the content hash locally and queries the registry directly. The registry returns a record if one exists. No subscription, credential, or trusted intermediary is required.</w:t>
      </w:r>
    </w:p>
    <w:p>
      <w:pPr>
        <w:pStyle w:val="BodyText"/>
      </w:pPr>
      <w:r>
        <w:t xml:space="preserve">The registry intentionally</w:t>
      </w:r>
      <w:r>
        <w:t xml:space="preserve"> does not support attribution search, reverse lookup, or photographer enumeration. </w:t>
      </w:r>
      <w:r>
        <w:t xml:space="preserve">A verifier can ask the registry whether an image came from a registered device, but it lacks enough information to answer which one.</w:t>
      </w:r>
    </w:p>
    <w:p>
      <w:pPr>
        <w:pStyle w:val="Heading1"/>
      </w:pPr>
      <w:r>
        <w:rPr>
          <w:b/>
          <w:bCs/>
        </w:rPr>
        <w:t xml:space="preserve">4 THREAT MODEL AND FORMAL PRIVACY PROPERTIES</w:t>
      </w:r>
    </w:p>
    <w:p>
      <w:pPr>
        <w:pStyle w:val="BodyText"/>
      </w:pPr>
      <w:r>
        <w:t xml:space="preserve">Semantic Non-Assembly is enforced through intentional context blindness: each component is structurally limited to observing only the attribution-surface fragment required for its function, making the sufficient information set unassemblable below the compromise threshold. </w:t>
      </w:r>
      <w:r>
        <w:t xml:space="preserve">Channel separation structurally prevents any single component from holding both a device identifier and a content hash; 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Heading2"/>
      </w:pPr>
      <w:r>
        <w:rPr>
          <w:b/>
          <w:bCs/>
        </w:rPr>
        <w:t xml:space="preserve">4.1 Adversary Model</w:t>
      </w:r>
    </w:p>
    <w:p>
      <w:pPr>
        <w:pStyle w:val="BodyText"/>
      </w:pPr>
      <w:r>
        <w:rPr>
          <w:b/>
          <w:bCs/>
        </w:rPr>
        <w:t xml:space="preserve">Out of scope.</w:t>
      </w:r>
      <w:r>
        <w:t xml:space="preserve"> Coordinated cross-role compromise (Section 4.6) and legal compulsion of a single operator (handled by governance removal, Section 6.2). Observing both delivery paths without compromising a component is in scope and does not enable correlation, because PacketHash reaches the validator only as Enc_PacketHash (Section 3.2).</w:t>
      </w:r>
    </w:p>
    <w:p>
      <w:pPr>
        <w:pStyle w:val="BodyText"/>
      </w:pPr>
      <w:r>
        <w:rPr>
          <w:b/>
          <w:bCs/>
        </w:rPr>
        <w:t xml:space="preserve">Network Adversary (A_NET).</w:t>
      </w:r>
      <w:r>
        <w:t xml:space="preserve"> Controls network infrastructure between system components, with the ability to intercept, modify, replay, and inject messages on public channels. Submission servers may be compromised: a compromised server can inspect the content channel and </w:t>
      </w:r>
      <w:r>
        <w:t xml:space="preserve">the verdict relayed by the gatekeeper quorum</w:t>
      </w:r>
      <w:r>
        <w:t xml:space="preserve"> but cannot decrypt encrypted credential tokens (only the credential validator holds decryption keys) and cannot forge validator signatures. Up to 33% of Registry Nodes may be compromised; honest Registry Nodes retain the majority required for record finalization above this threshold. </w:t>
      </w:r>
      <w:r>
        <w:t xml:space="preserve">Simultaneous compromise of components in different roles (cross-role compromise) requires coordinated compromise across organizational boundaries. It defeats the guarantee. The architecture treats it as a catastrophic failure rather than assuming it away, and the independence requirements, governance removal and audit of Section 6.2 exist to prevent it. Compromise of several operators in the same role (same-role compromise) is bounded under A_PRIV below.</w:t>
      </w:r>
    </w:p>
    <w:p>
      <w:pPr>
        <w:pStyle w:val="BodyText"/>
      </w:pPr>
      <w:r>
        <w:rPr>
          <w:b/>
          <w:bCs/>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device credentials is also within scope. </w:t>
      </w:r>
      <w:r>
        <w:t xml:space="preserve">Replicating manufacturing-calibrated hardware fingerprints requires physical access to manufacturing equipment; no practical attack is publicly known, though this is an empirical observation, not a formal bound.</w:t>
      </w:r>
      <w:r>
        <w:t xml:space="preserve"> Successful extraction affects only the compromised device and any key table entries it shares with other devices.</w:t>
      </w:r>
    </w:p>
    <w:p>
      <w:pPr>
        <w:pStyle w:val="BodyText"/>
      </w:pPr>
      <w:r>
        <w:rPr>
          <w:b/>
          <w:bCs/>
        </w:rPr>
        <w:t xml:space="preserve">Privacy Adversary (A_PRIV).</w:t>
      </w:r>
      <w:r>
        <w:t xml:space="preserve"> Seeks to correlate specific capture devices to specific verified content records. Capabilities include: observation of all public registry records; monitoring of network traffic including timing and packet sizes; access to any single system component (</w:t>
      </w:r>
      <w:r>
        <w:t xml:space="preserve">the credential validator, C, a gatekeeper, a content-channel submission server, or a Registry Node</w:t>
      </w:r>
      <w:r>
        <w:t xml:space="preserve">) </w:t>
      </w:r>
      <w:r>
        <w:t xml:space="preserve">but not components in more than one role simultaneously (cross-role compromise); the bound on same-role compromise is given below.</w:t>
      </w:r>
      <w:r>
        <w:t xml:space="preserve"> Cannot break AES-256 encryption or SHA-256 collision resistance. </w:t>
      </w:r>
      <w:r>
        <w:t xml:space="preserve">Legal compulsion of a single operator is out of scope (above); simultaneous multi-jurisdictional compulsion across roles is coordinated cross-role compromise.</w:t>
      </w:r>
    </w:p>
    <w:p>
      <w:pPr>
        <w:pStyle w:val="BodyText"/>
      </w:pPr>
      <w:r>
        <w:rPr/>
        <w:t xml:space="preserve">A_PRIV’s network-monitoring capability is a Global Passive Adversary (GPA) in the sense established in the anonymity-network literature: an adversary who observes all traffic between all parties, not merely some links.</w:t>
      </w:r>
      <w:r>
        <w:t xml:space="preserve"> This is a stronger observational capability than most deployed anonymity systems defend against</w:t>
      </w:r>
      <w:r>
        <w:t xml:space="preserve">; Tor’s threat model, for example, excludes it [15]</w:t>
      </w:r>
      <w:r>
        <w:t xml:space="preserve">.</w:t>
      </w:r>
      <w:r>
        <w:t xml:space="preserve"> </w:t>
      </w:r>
      <w:r>
        <w:t xml:space="preserve">Raw observational capability is not, by itself, a successful correlation attack:</w:t>
      </w:r>
      <w:r>
        <w:t xml:space="preserve"> </w:t>
      </w:r>
      <w:r>
        <w:t xml:space="preserve">an adversary</w:t>
      </w:r>
      <w:r>
        <w:t xml:space="preserve"> who is global in this sense still needs a candidate content item to check against, needs to know which of potentially several manufacturer validators to target, and, since PacketHash is discarded immediately after use, needs to have already been recording validator-adjacent traffic before the submission of interest occurred, not merely to possess global visibility at the time an image later becomes of interest. </w:t>
      </w:r>
      <w:r>
        <w:t xml:space="preserve">What the proofs cover with respect to this capability is stated in Appendix A.5.</w:t>
      </w:r>
      <w:r>
        <w:t xml:space="preserve"> A_PRIV’s two capabilities, network monitoring and single-component access, </w:t>
      </w:r>
      <w:r>
        <w:t xml:space="preserve">are granted together; Appendix D evaluates them together.</w:t>
      </w:r>
    </w:p>
    <w:p>
      <w:pPr>
        <w:pStyle w:val="BodyText"/>
      </w:pPr>
      <w:r>
        <w:t xml:space="preserve">A_PRIV’s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“Multi-component” here means same-role compromise: several operators holding the same role compromised at once, through a single shared vulnerability or a single jurisdiction’s legal reach. That capacity belongs to the adversary’s operational reach, not to the protocol, and does not grow when the consortium recruits additional members.</w:t>
      </w:r>
    </w:p>
    <w:p>
      <w:pPr>
        <w:pStyle w:val="BodyText"/>
      </w:pPr>
      <w: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 not a fixed property of this architecture.</w:t>
      </w:r>
    </w:p>
    <w:p>
      <w:pPr>
        <w:pStyle w:val="BodyText"/>
      </w:pPr>
      <w:r>
        <w:t xml:space="preserve">The consequence differs by role. Compromised Registry Nodes learn only what the registry-observer row of Table </w:t>
      </w:r>
      <w:r>
        <w:t xml:space="preserve">4</w:t>
      </w:r>
      <w:r>
        <w:t xml:space="preserve"> already discloses, </w:t>
      </w:r>
      <w:r>
        <w:t xml:space="preserve">content hashes, verdicts and coarsened timestamps</w:t>
      </w:r>
      <w:r>
        <w:t xml:space="preserve">. Reaching enough gatekeepers, content-channel servers, or the credential processor to defeat the thresholds of Properties D through I (two of three gatekeepers, both content-channel servers, the credential processor with the validator, or the validator with any one gatekeeper) requires the same spread, undetected, across every operator involved.</w:t>
      </w:r>
    </w:p>
    <w:p>
      <w:pPr>
        <w:pStyle w:val="Heading2"/>
      </w:pPr>
      <w:r>
        <w:rPr>
          <w:b/>
          <w:bCs/>
        </w:rPr>
        <w:t xml:space="preserve">4.2 Design Goals</w:t>
      </w:r>
    </w:p>
    <w:p>
      <w:pPr>
        <w:pStyle w:val="BodyText"/>
      </w:pPr>
      <w:r>
        <w:rPr>
          <w:b/>
          <w:bCs/>
        </w:rPr>
        <w:t xml:space="preserve">G1: Device-Rooted Authenticity.</w:t>
      </w:r>
      <w:r>
        <w:t xml:space="preserve"> The system must cryptographically prove that content originated from a registered capture device. Adversaries cannot generate valid verification records without possessing a legitimate registered device or successfully breaking hardware security mechanisms. This covers the device side of authenticity; it does not by itself stop an infrastructure operator from posting a record no device or validator ever produced. That is a separate failure mode, closed by the dual-approval mechanism in Section 3.3, not by anything about the device’s credential</w:t>
      </w:r>
      <w:r>
        <w:t xml:space="preserve">.</w:t>
      </w:r>
    </w:p>
    <w:p>
      <w:pPr>
        <w:pStyle w:val="BodyText"/>
      </w:pPr>
      <w:r>
        <w:rPr>
          <w:b/>
          <w:bCs/>
        </w:rPr>
        <w:t xml:space="preserve">G2: Privacy Preservation.</w:t>
      </w:r>
      <w:r>
        <w:t xml:space="preserve"> No single party can correlate a specific capture device to specific verified content. Privacy is computational: it holds against a global passive network observer who has compromised no component, against C individually, against a content-channel submission server individually, against a gatekeeper individually, and </w:t>
      </w:r>
      <w:r>
        <w:t xml:space="preserve">against the credential validator individually</w:t>
      </w:r>
      <w:r>
        <w:t xml:space="preserve">. </w:t>
      </w:r>
      <w:r>
        <w:t xml:space="preserve">Only coordinated compromise across components could restore correlation.</w:t>
      </w:r>
    </w:p>
    <w:p>
      <w:pPr>
        <w:pStyle w:val="BodyText"/>
      </w:pPr>
      <w:r>
        <w:rPr>
          <w:b/>
          <w:bCs/>
        </w:rPr>
        <w:t xml:space="preserve">G3: Metadata Independence.</w:t>
      </w:r>
      <w:r>
        <w:t xml:space="preserve"> Verification records must survive format conversion, compression, and platform reprocessing performed by certified processing software.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certified processing software, which already holds both the original and the derived content because it is the software performing the edit. </w:t>
      </w:r>
      <w:r>
        <w:t xml:space="preserve">Verification of the resulting record is identical</w:t>
      </w:r>
      <w:r>
        <w:t xml:space="preserve"> to verification of any other record in the registry. Reprocessing performed outside certified software, such as a platform’s own automatic recompression on upload, does not preserve this chain; Section 6.3 (Adoption dependency) extends the same coverage limitation already stated for non-participating manufacturers to non-participating processing software.</w:t>
      </w:r>
    </w:p>
    <w:p>
      <w:pPr>
        <w:pStyle w:val="BodyText"/>
      </w:pPr>
      <w:r>
        <w:t xml:space="preserve">Certified processing software authenticates an edit by predictive matching rather than by re-establishing the original device’s hardware root, which makes this authentication software-attested rather than hardware-rooted, weakening G1’s device-credential guarantee correspondingly for edited records. It records the editing operations applied, predicts their expected effect on the saved output, and measures the deviation between that prediction and what was actually saved, similar in spirit to a perceptual hash tolerating expected variation while flagging a change outside it. </w:t>
      </w:r>
      <w:r>
        <w:t xml:space="preserve">The software sends that deviation as its claim, and the validator role, held by the developer’s server, turns it into the verdict recorded with the edit. A large deviation yields a modified verdict: a flagged record, chained to its parent by ContentHash, not a rejection. The verdict is the validator’s attestation, not a measurement the protocol checks. A verifier</w:t>
      </w:r>
      <w:r>
        <w:t xml:space="preserve"> holding both images can confirm the relationship directly without either record carrying a device identifier.</w:t>
      </w:r>
    </w:p>
    <w:p>
      <w:pPr>
        <w:pStyle w:val="BodyText"/>
      </w:pPr>
      <w:r>
        <w:rPr>
          <w:b/>
          <w:bCs/>
        </w:rPr>
        <w:t xml:space="preserve">G4: Public Verifiability.</w:t>
      </w:r>
      <w:r>
        <w:t xml:space="preserve"> Any party must be able to verify content authenticity without credentials or intermediary, without revealing the verifier’s identity.</w:t>
      </w:r>
    </w:p>
    <w:p>
      <w:pPr>
        <w:pStyle w:val="BodyText"/>
      </w:pPr>
      <w:r>
        <w:rPr>
          <w:b/>
          <w:bCs/>
        </w:rPr>
        <w:t xml:space="preserve">G5: Minimal Storage.</w:t>
      </w:r>
      <w:r>
        <w:t xml:space="preserve"> Registry records are compact (</w:t>
      </w:r>
      <w:r>
        <w:t xml:space="preserve">42 bytes on-chain for a capture, at most 106 with both optional fields</w:t>
      </w:r>
      <w:r>
        <w:t xml:space="preserve">),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
          <w:bCs/>
        </w:rPr>
        <w:t xml:space="preserve">G6: Transit Unlinkability.</w:t>
      </w:r>
      <w:r>
        <w:t xml:space="preserve"> The content channel and credential channel must be delivered to their respective destinations such that </w:t>
      </w:r>
      <w:r>
        <w:t xml:space="preserve">no single first-hop recipient receives both channels as first hop, no destination receives both channels as destination, and such that no server that handles packets of more than one of the submission’s paths, whether as an intermediary or as the first hop of one path and the destination of another, can identify them as belonging to the same submission,</w:t>
      </w:r>
      <w:r>
        <w:t xml:space="preserve"> and such that neither destination, in the ordinary course of receiving its own channel, learns the device’s real network-layer identity (its source IP address). </w:t>
      </w:r>
      <w:r>
        <w:t xml:space="preserve">This is a requirement on the delivery mechanism, not on the channels’ content: hashing and encryption (Section 3.2) stop a party holding one channel from reading the other, but cannot stop a party that observes both channels in transit from linking them, or stop either destination from seeing the device’s source address.</w:t>
      </w:r>
      <w:r>
        <w:t xml:space="preserve"> The delivery requirements that satisfy this goal are specified in Section 3.2.</w:t>
      </w:r>
    </w:p>
    <w:p>
      <w:pPr>
        <w:pStyle w:val="Heading2"/>
      </w:pPr>
      <w:r>
        <w:rPr>
          <w:b/>
          <w:bCs/>
        </w:rPr>
        <w:t xml:space="preserve">4.3 Device Non-Correlation</w:t>
      </w:r>
    </w:p>
    <w:p>
      <w:pPr>
        <w:pStyle w:val="BodyText"/>
      </w:pPr>
      <w:r>
        <w:rPr>
          <w:b/>
          <w:bCs/>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 hashes within the defined adversary model. Content hashes are never transmitted to the validator.</w:t>
      </w:r>
    </w:p>
    <w:p>
      <w:pPr>
        <w:pStyle w:val="Heading2"/>
      </w:pPr>
      <w:r>
        <w:rPr>
          <w:b/>
          <w:bCs/>
        </w:rPr>
        <w:t xml:space="preserve">4.4 Registry Observer Non-Identification</w:t>
      </w:r>
    </w:p>
    <w:p>
      <w:pPr>
        <w:pStyle w:val="BodyText"/>
      </w:pPr>
      <w:r>
        <w:rPr>
          <w:b/>
          <w:bCs/>
        </w:rPr>
        <w:t xml:space="preserve">Property:</w:t>
      </w:r>
      <w:r>
        <w:t xml:space="preserve"> Registry observers </w:t>
      </w:r>
      <w:r>
        <w:t xml:space="preserve">see content hashes, verdicts and coarsened posting timestamps but</w:t>
      </w:r>
      <w:r>
        <w:t xml:space="preserve"> cannot identify devices, credential validators, or content creators. Given a registry record </w:t>
      </w:r>
      <w:r>
        <w:t xml:space="preserve">containing only ContentHash, verdict,</w:t>
      </w:r>
      <w:r>
        <w:t xml:space="preserve"> </w:t>
      </w:r>
      <w:r>
        <w:t xml:space="preserve">the flags byte, the optional parent and metadata hashes, and a coarsened timestamp</w:t>
      </w:r>
      <w:r>
        <w:t xml:space="preserve">, observer O cannot determine which device produced it with probability greater than random guessing over the registered device population.</w:t>
      </w:r>
    </w:p>
    <w:p>
      <w:pPr>
        <w:pStyle w:val="Heading2"/>
      </w:pPr>
      <w:r>
        <w:rPr>
          <w:b/>
          <w:bCs/>
        </w:rPr>
        <w:t xml:space="preserve">4.5 Submission Server Blindness</w:t>
      </w:r>
    </w:p>
    <w:p>
      <w:pPr>
        <w:pStyle w:val="BodyText"/>
      </w:pPr>
      <w:r>
        <w:rPr>
          <w:b/>
          <w:bCs/>
        </w:rPr>
        <w:t xml:space="preserve">Property:</w:t>
      </w:r>
      <w:r>
        <w:t xml:space="preserve"> Content-channel submission servers receive the content channel directly from the device but never the credential channel, and cannot identify specific devices. The credential token T = </w:t>
      </w:r>
      <w:r>
        <w:t xml:space="preserve">ECIES(cred_D || tx_nonce || claim, V-token_pk)</w:t>
      </w:r>
      <w:r>
        <w:t xml:space="preserve">, where cred_D is the device’s hardware-rooted credential, tx_nonce is a single-use replay nonce the validator logs to </w:t>
      </w:r>
      <w:r>
        <w:t xml:space="preserve">detect reuse, claim is the device’s statement about post-capture processing (Section 3.2), and V-token_sk is held exclusively</w:t>
      </w:r>
      <w:r>
        <w:t xml:space="preserve"> by the validator, travels only to C and from there to the validator. A content-channel submission server never possesses T and so has no ciphertext against which to run any attack; it receives only the content channel and, later, the boards’ posted PacketHash values. Submission Server Blindness therefore follows directly from the delivery structure rather than requiring a reduction to IND-CCA2 security; </w:t>
      </w:r>
      <w:r>
        <w:t xml:space="preserve">Appendices A.2 and A.3 verify Properties A to C by observational equivalence.</w:t>
      </w:r>
    </w:p>
    <w:p>
      <w:pPr>
        <w:pStyle w:val="Heading2"/>
      </w:pPr>
      <w:r>
        <w:rPr>
          <w:b/>
          <w:bCs/>
        </w:rPr>
        <w:t xml:space="preserve">4.6 Composite Guarantee</w:t>
      </w:r>
    </w:p>
    <w:p>
      <w:pPr>
        <w:pStyle w:val="BodyText"/>
      </w:pPr>
      <w:r>
        <w:t xml:space="preserve">The properties together mean that no single component’s compromise is sufficient for correlation: the credential validator never observes ContentHash or n and, even if compromised, cannot recover PacketHash</w:t>
      </w:r>
      <w:r>
        <w:t xml:space="preserve">, since PacketHash reaches it only wrapped</w:t>
      </w:r>
      <w:r>
        <w:t xml:space="preserve"> under BlindShare_key, a value C generates fresh per transaction and never shares; C holds PacketHash in the clear but never the device token </w:t>
      </w:r>
      <w:r>
        <w:t xml:space="preserve">in a readable form, since it never holds V-token_sk</w:t>
      </w:r>
      <w:r>
        <w:t xml:space="preserve">; a content-channel submission server holds ContentHash and n but </w:t>
      </w:r>
      <w:r>
        <w:t xml:space="preserve">never the credential channel at all; a gatekeeper</w:t>
      </w:r>
      <w:r>
        <w:t xml:space="preserve"> holds PacketHash and both signatures </w:t>
      </w:r>
      <w:r>
        <w:t xml:space="preserve">but never the token. The base architecture</w:t>
      </w:r>
      <w:r>
        <w:t xml:space="preserve"> achieves semantic non-assembly at t=1 against an adversary confined to a single component’s stored or in-transit data: </w:t>
      </w:r>
      <w:r>
        <w:t xml:space="preserve">any single-component compromise yields only attribution-surface fragments (confirmed in Appendix A.3).</w:t>
      </w:r>
      <w:r>
        <w:t xml:space="preserve"> A compromised validator also holds the verdict for each submission. The verdict is public, so it narrows the candidate records only as far as it is rare among them (Appendix A.3).</w:t>
      </w:r>
    </w:p>
    <w:p>
      <w:pPr>
        <w:pStyle w:val="BodyText"/>
      </w:pPr>
      <w:r>
        <w:t xml:space="preserve">This guarantee rests on G6, BlindShare_key’s disposability, and the match-board signature check (Section 3.3) together: G6 prevents any single party from holding both channels; </w:t>
      </w:r>
      <w:r>
        <w:t xml:space="preserve">wrapping PacketHash under a key only C holds keeps it from the validator</w:t>
      </w:r>
      <w:r>
        <w:t xml:space="preserve">; and the match board’s independent verification prevents anyone, including a compromised credential processor, from posting a plaintext that does not match what the validator signed.</w:t>
      </w:r>
    </w:p>
    <w:p>
      <w:pPr>
        <w:pStyle w:val="BodyText"/>
      </w:pPr>
      <w:r>
        <w:t xml:space="preserve">Correlation requires coordinated compromise across components: the validator together with C, or the validator together with any one gatekeeper (the last two rows of Table </w:t>
      </w:r>
      <w:r>
        <w:t xml:space="preserve">4</w:t>
      </w:r>
      <w:r>
        <w:t xml:space="preserve">).</w:t>
      </w:r>
      <w:r>
        <w:t xml:space="preserve"> This is the coordinated multi-component compromise </w:t>
      </w:r>
      <w:r>
        <w:t xml:space="preserve">that defeats the guarantee (Section 4.1); the controls in Section 6.2 exist to prevent it.</w:t>
      </w:r>
    </w:p>
    <w:p>
      <w:pPr>
        <w:pStyle w:val="BodyText"/>
      </w:pPr>
      <w:r>
        <w:t xml:space="preserve">Independence at the component level means the credential validator, C, and each content-channel submission server must not share ownership, legal jurisdiction, or key material with one another: the two-signer registry requirement in Section 3.3 assumes the two content-channel servers cannot collude, and that assumption rests on the same independence requirement, not on the protocol alone.</w:t>
      </w:r>
    </w:p>
    <w:p>
      <w:pPr>
        <w:pStyle w:val="BodyText"/>
      </w:pPr>
      <w:r>
        <w:t xml:space="preserve">Table </w:t>
      </w:r>
      <w:r>
        <w:t xml:space="preserve">4</w:t>
      </w:r>
      <w:r>
        <w:t xml:space="preserve"> summarizes</w:t>
      </w:r>
      <w:r>
        <w:t xml:space="preserve"> every row of the compromise analysis in one place</w:t>
      </w:r>
      <w:r>
        <w:t xml:space="preserve">: every single-component row ends at a fragment, and only the last two rows, which combine components, link device to content.</w:t>
      </w:r>
    </w:p>
    <w:p>
      <w:pPr>
        <w:pStyle w:val="TableCaption"/>
      </w:pPr>
      <w:r>
        <w:rPr>
          <w:b/>
          <w:bCs/>
        </w:rPr>
        <w:t xml:space="preserve">Table </w:t>
      </w:r>
      <w:r>
        <w:rPr>
          <w:b/>
          <w:bCs/>
        </w:rPr>
        <w:t xml:space="preserve">4</w:t>
      </w:r>
      <w:r>
        <w:rPr>
          <w:b/>
          <w:bCs/>
        </w:rPr>
        <w:t xml:space="preserve">.</w:t>
      </w:r>
      <w:r>
        <w:t xml:space="preserve"> Compromise summary: what each party or vantage point can determine, and the formal basis for each row.</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884"/>
        <w:gridCol w:w="2260"/>
        <w:gridCol w:w="3025"/>
        <w:gridCol w:w="2190"/>
      </w:tblGrid>
      <w:tr>
        <w:trPr>
          <w:cantSplit/>
          <w:tblHeader w:val="true"/>
        </w:trPr>
        <w:tc>
          <w:tcPr>
            <w:tcW w:w="1884" w:type="dxa"/>
            <w:tcBorders>
              <w:top w:val="single" w:sz="12" w:space="0" w:color="000000"/>
              <w:bottom w:val="single" w:sz="6" w:space="0" w:color="000000"/>
            </w:tcBorders>
            <w:vAlign w:val="bottom"/>
          </w:tcPr>
          <w:p>
            <w:pPr>
              <w:pStyle w:val="TableText"/>
            </w:pPr>
            <w:r>
              <w:rPr>
                <w:b/>
              </w:rPr>
              <w:t xml:space="preserve">Party / vantage point</w:t>
            </w:r>
          </w:p>
        </w:tc>
        <w:tc>
          <w:tcPr>
            <w:tcW w:w="2260" w:type="dxa"/>
            <w:tcBorders>
              <w:top w:val="single" w:sz="12" w:space="0" w:color="000000"/>
              <w:bottom w:val="single" w:sz="6" w:space="0" w:color="000000"/>
            </w:tcBorders>
            <w:vAlign w:val="bottom"/>
          </w:tcPr>
          <w:p>
            <w:pPr>
              <w:pStyle w:val="TableText"/>
            </w:pPr>
            <w:r>
              <w:rPr>
                <w:b/>
              </w:rPr>
              <w:t xml:space="preserve">Reveals</w:t>
            </w:r>
          </w:p>
        </w:tc>
        <w:tc>
          <w:tcPr>
            <w:tcW w:w="3025" w:type="dxa"/>
            <w:tcBorders>
              <w:top w:val="single" w:sz="12" w:space="0" w:color="000000"/>
              <w:bottom w:val="single" w:sz="6" w:space="0" w:color="000000"/>
            </w:tcBorders>
            <w:vAlign w:val="bottom"/>
          </w:tcPr>
          <w:p>
            <w:pPr>
              <w:pStyle w:val="TableText"/>
            </w:pPr>
            <w:r>
              <w:rPr>
                <w:b/>
              </w:rPr>
              <w:t xml:space="preserve">Cannot determine</w:t>
            </w:r>
          </w:p>
        </w:tc>
        <w:tc>
          <w:tcPr>
            <w:tcW w:w="2190" w:type="dxa"/>
            <w:tcBorders>
              <w:top w:val="single" w:sz="12" w:space="0" w:color="000000"/>
              <w:bottom w:val="single" w:sz="6" w:space="0" w:color="000000"/>
            </w:tcBorders>
            <w:vAlign w:val="bottom"/>
          </w:tcPr>
          <w:p>
            <w:pPr>
              <w:pStyle w:val="TableText"/>
            </w:pPr>
            <w:r>
              <w:rPr>
                <w:b/>
              </w:rPr>
              <w:t xml:space="preserve">Formal basis</w:t>
            </w:r>
          </w:p>
        </w:tc>
      </w:tr>
      <w:tr>
        <w:trPr>
          <w:cantSplit/>
        </w:trPr>
        <w:tc>
          <w:tcPr>
            <w:tcW w:w="1884" w:type="dxa"/>
            <w:tcBorders>
              <w:bottom w:val="single" w:sz="2" w:space="0" w:color="BFBFBF"/>
            </w:tcBorders>
            <w:vAlign w:val="top"/>
          </w:tcPr>
          <w:p>
            <w:pPr>
              <w:pStyle w:val="TableText"/>
            </w:pPr>
            <w:r>
              <w:t xml:space="preserve">Registry observer (public, no compromise)</w:t>
            </w:r>
          </w:p>
        </w:tc>
        <w:tc>
          <w:tcPr>
            <w:tcW w:w="2260" w:type="dxa"/>
            <w:tcBorders>
              <w:bottom w:val="single" w:sz="2" w:space="0" w:color="BFBFBF"/>
            </w:tcBorders>
            <w:vAlign w:val="top"/>
          </w:tcPr>
          <w:p>
            <w:pPr>
              <w:pStyle w:val="TableText"/>
            </w:pPr>
            <w:r>
              <w:t xml:space="preserve">Content hashes; verdicts; timestamps</w:t>
            </w:r>
          </w:p>
        </w:tc>
        <w:tc>
          <w:tcPr>
            <w:tcW w:w="3025" w:type="dxa"/>
            <w:tcBorders>
              <w:bottom w:val="single" w:sz="2" w:space="0" w:color="BFBFBF"/>
            </w:tcBorders>
            <w:vAlign w:val="top"/>
          </w:tcPr>
          <w:p>
            <w:pPr>
              <w:pStyle w:val="TableText"/>
            </w:pPr>
            <w:r>
              <w:t xml:space="preserve">Which device produced which content</w:t>
            </w:r>
          </w:p>
        </w:tc>
        <w:tc>
          <w:tcPr>
            <w:tcW w:w="2190" w:type="dxa"/>
            <w:tcBorders>
              <w:bottom w:val="single" w:sz="2" w:space="0" w:color="BFBFBF"/>
            </w:tcBorders>
            <w:vAlign w:val="top"/>
          </w:tcPr>
          <w:p>
            <w:pPr>
              <w:pStyle w:val="TableText"/>
            </w:pPr>
            <w:r>
              <w:t xml:space="preserve">Property B</w:t>
            </w:r>
          </w:p>
        </w:tc>
      </w:tr>
      <w:tr>
        <w:trPr>
          <w:cantSplit/>
        </w:trPr>
        <w:tc>
          <w:tcPr>
            <w:tcW w:w="1884" w:type="dxa"/>
            <w:tcBorders>
              <w:bottom w:val="single" w:sz="2" w:space="0" w:color="BFBFBF"/>
            </w:tcBorders>
            <w:vAlign w:val="top"/>
          </w:tcPr>
          <w:p>
            <w:pPr>
              <w:pStyle w:val="TableText"/>
            </w:pPr>
            <w:r>
              <w:t xml:space="preserve">Credential processor compromised alone</w:t>
            </w:r>
          </w:p>
        </w:tc>
        <w:tc>
          <w:tcPr>
            <w:tcW w:w="2260" w:type="dxa"/>
            <w:tcBorders>
              <w:bottom w:val="single" w:sz="2" w:space="0" w:color="BFBFBF"/>
            </w:tcBorders>
            <w:vAlign w:val="top"/>
          </w:tcPr>
          <w:p>
            <w:pPr>
              <w:pStyle w:val="TableText"/>
            </w:pPr>
            <w:r>
              <w:t xml:space="preserve">PacketHash (in the clear); the verdict; encrypted</w:t>
            </w:r>
            <w:r>
              <w:t xml:space="preserve"> device token (still opaque, no V-token_sk)</w:t>
            </w:r>
          </w:p>
        </w:tc>
        <w:tc>
          <w:tcPr>
            <w:tcW w:w="3025" w:type="dxa"/>
            <w:tcBorders>
              <w:bottom w:val="single" w:sz="2" w:space="0" w:color="BFBFBF"/>
            </w:tcBorders>
            <w:vAlign w:val="top"/>
          </w:tcPr>
          <w:p>
            <w:pPr>
              <w:pStyle w:val="TableText"/>
            </w:pPr>
            <w:r>
              <w:t xml:space="preserve">device_id, since the token stays encrypted regardless</w:t>
            </w:r>
          </w:p>
        </w:tc>
        <w:tc>
          <w:tcPr>
            <w:tcW w:w="2190" w:type="dxa"/>
            <w:tcBorders>
              <w:bottom w:val="single" w:sz="2" w:space="0" w:color="BFBFBF"/>
            </w:tcBorders>
            <w:vAlign w:val="top"/>
          </w:tcPr>
          <w:p>
            <w:pPr>
              <w:pStyle w:val="TableText"/>
            </w:pPr>
            <w:r>
              <w:t xml:space="preserve">Property D</w:t>
            </w:r>
          </w:p>
        </w:tc>
      </w:tr>
      <w:tr>
        <w:trPr>
          <w:cantSplit/>
        </w:trPr>
        <w:tc>
          <w:tcPr>
            <w:tcW w:w="1884" w:type="dxa"/>
            <w:tcBorders>
              <w:bottom w:val="single" w:sz="2" w:space="0" w:color="BFBFBF"/>
            </w:tcBorders>
            <w:vAlign w:val="top"/>
          </w:tcPr>
          <w:p>
            <w:pPr>
              <w:pStyle w:val="TableText"/>
            </w:pPr>
            <w:r>
              <w:t xml:space="preserve">Content-channel submission server (F or I) compromised alone</w:t>
            </w:r>
          </w:p>
        </w:tc>
        <w:tc>
          <w:tcPr>
            <w:tcW w:w="2260" w:type="dxa"/>
            <w:tcBorders>
              <w:bottom w:val="single" w:sz="2" w:space="0" w:color="BFBFBF"/>
            </w:tcBorders>
            <w:vAlign w:val="top"/>
          </w:tcPr>
          <w:p>
            <w:pPr>
              <w:pStyle w:val="TableText"/>
            </w:pPr>
            <w:r>
              <w:t xml:space="preserve">ContentHash and n for its own transactions; </w:t>
            </w:r>
            <w:r>
              <w:t xml:space="preserve">its own computed PacketHash candidate; the quorum’s verdict</w:t>
            </w:r>
          </w:p>
        </w:tc>
        <w:tc>
          <w:tcPr>
            <w:tcW w:w="3025" w:type="dxa"/>
            <w:tcBorders>
              <w:bottom w:val="single" w:sz="2" w:space="0" w:color="BFBFBF"/>
            </w:tcBorders>
            <w:vAlign w:val="top"/>
          </w:tcPr>
          <w:p>
            <w:pPr>
              <w:pStyle w:val="TableText"/>
            </w:pPr>
            <w:r>
              <w:t xml:space="preserve">device_id, since it never receives the credential channel at all</w:t>
            </w:r>
          </w:p>
        </w:tc>
        <w:tc>
          <w:tcPr>
            <w:tcW w:w="2190" w:type="dxa"/>
            <w:tcBorders>
              <w:bottom w:val="single" w:sz="2" w:space="0" w:color="BFBFBF"/>
            </w:tcBorders>
            <w:vAlign w:val="top"/>
          </w:tcPr>
          <w:p>
            <w:pPr>
              <w:pStyle w:val="TableText"/>
            </w:pPr>
            <w:r>
              <w:t xml:space="preserve">Property F</w:t>
            </w:r>
          </w:p>
        </w:tc>
      </w:tr>
      <w:tr>
        <w:trPr>
          <w:cantSplit/>
        </w:trPr>
        <w:tc>
          <w:tcPr>
            <w:tcW w:w="1884" w:type="dxa"/>
            <w:tcBorders>
              <w:bottom w:val="single" w:sz="2" w:space="0" w:color="BFBFBF"/>
            </w:tcBorders>
            <w:vAlign w:val="top"/>
          </w:tcPr>
          <w:p>
            <w:pPr>
              <w:pStyle w:val="TableText"/>
            </w:pPr>
            <w:r>
              <w:t xml:space="preserve">Gatekeeper compromised alone</w:t>
            </w:r>
          </w:p>
        </w:tc>
        <w:tc>
          <w:tcPr>
            <w:tcW w:w="2260" w:type="dxa"/>
            <w:tcBorders>
              <w:bottom w:val="single" w:sz="2" w:space="0" w:color="BFBFBF"/>
            </w:tcBorders>
            <w:vAlign w:val="top"/>
          </w:tcPr>
          <w:p>
            <w:pPr>
              <w:pStyle w:val="TableText"/>
            </w:pPr>
            <w:r>
              <w:t xml:space="preserve">PacketHash and the verdict (in the clear); the validator’s ring signature;</w:t>
            </w:r>
            <w:r>
              <w:t xml:space="preserve"> BlindShare_key; </w:t>
            </w:r>
            <w:r>
              <w:t xml:space="preserve">C’s ring signature over PacketHash</w:t>
            </w:r>
          </w:p>
        </w:tc>
        <w:tc>
          <w:tcPr>
            <w:tcW w:w="3025" w:type="dxa"/>
            <w:tcBorders>
              <w:bottom w:val="single" w:sz="2" w:space="0" w:color="BFBFBF"/>
            </w:tcBorders>
            <w:vAlign w:val="top"/>
          </w:tcPr>
          <w:p>
            <w:pPr>
              <w:pStyle w:val="TableText"/>
            </w:pPr>
            <w:r>
              <w:t xml:space="preserve">device_id, since the credential channel’s token never reaches a gatekeeper at all; which candidate pool member C actually was, </w:t>
            </w:r>
            <w:r>
              <w:t xml:space="preserve">since the ring signature hides this from every verifier; </w:t>
            </w:r>
            <w:r>
              <w:t xml:space="preserve">which validator signed, and so which manufacturer’s devices the submission came from, since the validator’s signature is a ring signature over Ring V</w:t>
            </w:r>
          </w:p>
        </w:tc>
        <w:tc>
          <w:tcPr>
            <w:tcW w:w="2190" w:type="dxa"/>
            <w:tcBorders>
              <w:bottom w:val="single" w:sz="2" w:space="0" w:color="BFBFBF"/>
            </w:tcBorders>
            <w:vAlign w:val="top"/>
          </w:tcPr>
          <w:p>
            <w:pPr>
              <w:pStyle w:val="TableText"/>
            </w:pPr>
            <w:r>
              <w:t xml:space="preserve">Property J</w:t>
            </w:r>
          </w:p>
        </w:tc>
      </w:tr>
      <w:tr>
        <w:trPr>
          <w:cantSplit/>
        </w:trPr>
        <w:tc>
          <w:tcPr>
            <w:tcW w:w="1884" w:type="dxa"/>
            <w:tcBorders>
              <w:bottom w:val="single" w:sz="2" w:space="0" w:color="BFBFBF"/>
            </w:tcBorders>
            <w:vAlign w:val="top"/>
          </w:tcPr>
          <w:p>
            <w:pPr>
              <w:pStyle w:val="TableText"/>
            </w:pPr>
            <w:r>
              <w:t xml:space="preserve">Match board</w:t>
            </w:r>
          </w:p>
        </w:tc>
        <w:tc>
          <w:tcPr>
            <w:tcW w:w="2260" w:type="dxa"/>
            <w:tcBorders>
              <w:bottom w:val="single" w:sz="2" w:space="0" w:color="BFBFBF"/>
            </w:tcBorders>
            <w:vAlign w:val="top"/>
          </w:tcPr>
          <w:p>
            <w:pPr>
              <w:pStyle w:val="TableText"/>
            </w:pPr>
            <w:r>
              <w:t xml:space="preserve">Its own paired gatekeeper’s countersignature chained over C’s signature; </w:t>
            </w:r>
            <w:r>
              <w:t xml:space="preserve">PacketHash and the verdict, posted alongside both in the clear</w:t>
            </w:r>
          </w:p>
        </w:tc>
        <w:tc>
          <w:tcPr>
            <w:tcW w:w="3025" w:type="dxa"/>
            <w:tcBorders>
              <w:bottom w:val="single" w:sz="2" w:space="0" w:color="BFBFBF"/>
            </w:tcBorders>
            <w:vAlign w:val="top"/>
          </w:tcPr>
          <w:p>
            <w:pPr>
              <w:pStyle w:val="TableText"/>
            </w:pPr>
            <w:r>
              <w:t xml:space="preserve">device_id and which pool member C actually was, since it holds nothing its own gatekeeper did not already hold</w:t>
            </w:r>
          </w:p>
        </w:tc>
        <w:tc>
          <w:tcPr>
            <w:tcW w:w="2190" w:type="dxa"/>
            <w:tcBorders>
              <w:bottom w:val="single" w:sz="2" w:space="0" w:color="BFBFBF"/>
            </w:tcBorders>
            <w:vAlign w:val="top"/>
          </w:tcPr>
          <w:p>
            <w:pPr>
              <w:pStyle w:val="TableText"/>
            </w:pPr>
            <w:r>
              <w:t xml:space="preserve">Follows from the Gatekeeper compromised alone row</w:t>
            </w:r>
          </w:p>
        </w:tc>
      </w:tr>
      <w:tr>
        <w:trPr>
          <w:cantSplit/>
        </w:trPr>
        <w:tc>
          <w:tcPr>
            <w:tcW w:w="1884" w:type="dxa"/>
            <w:tcBorders>
              <w:bottom w:val="single" w:sz="2" w:space="0" w:color="BFBFBF"/>
            </w:tcBorders>
            <w:vAlign w:val="top"/>
          </w:tcPr>
          <w:p>
            <w:pPr>
              <w:pStyle w:val="TableText"/>
            </w:pPr>
            <w:r>
              <w:t xml:space="preserve">Zero-compromise global network observer</w:t>
            </w:r>
          </w:p>
        </w:tc>
        <w:tc>
          <w:tcPr>
            <w:tcW w:w="2260" w:type="dxa"/>
            <w:tcBorders>
              <w:bottom w:val="single" w:sz="2" w:space="0" w:color="BFBFBF"/>
            </w:tcBorders>
            <w:vAlign w:val="top"/>
          </w:tcPr>
          <w:p>
            <w:pPr>
              <w:pStyle w:val="TableText"/>
            </w:pPr>
            <w:r>
              <w:t xml:space="preserve">Nothing readable: every channel is encrypted under some recipient’s relay-terminus key</w:t>
            </w:r>
          </w:p>
        </w:tc>
        <w:tc>
          <w:tcPr>
            <w:tcW w:w="3025" w:type="dxa"/>
            <w:tcBorders>
              <w:bottom w:val="single" w:sz="2" w:space="0" w:color="BFBFBF"/>
            </w:tcBorders>
            <w:vAlign w:val="top"/>
          </w:tcPr>
          <w:p>
            <w:pPr>
              <w:pStyle w:val="TableText"/>
            </w:pPr>
            <w:r>
              <w:t xml:space="preserve">Anything from channel content; no channel is ever transmitted unencrypted to a party without the matching key. Timing and traffic-volume analysis are outside what this row’s formal basis covers (Appendix A.5).</w:t>
            </w:r>
          </w:p>
        </w:tc>
        <w:tc>
          <w:tcPr>
            <w:tcW w:w="2190" w:type="dxa"/>
            <w:tcBorders>
              <w:bottom w:val="single" w:sz="2" w:space="0" w:color="BFBFBF"/>
            </w:tcBorders>
            <w:vAlign w:val="top"/>
          </w:tcPr>
          <w:p>
            <w:pPr>
              <w:pStyle w:val="TableText"/>
            </w:pPr>
            <w:r>
              <w:t xml:space="preserve">Properties A, D, E, F</w:t>
            </w:r>
            <w:r>
              <w:t xml:space="preserve">; Section 3.2</w:t>
            </w:r>
          </w:p>
        </w:tc>
      </w:tr>
      <w:tr>
        <w:trPr>
          <w:cantSplit/>
        </w:trPr>
        <w:tc>
          <w:tcPr>
            <w:tcW w:w="1884" w:type="dxa"/>
            <w:tcBorders>
              <w:bottom w:val="single" w:sz="2" w:space="0" w:color="BFBFBF"/>
            </w:tcBorders>
            <w:vAlign w:val="top"/>
          </w:tcPr>
          <w:p>
            <w:pPr>
              <w:pStyle w:val="TableText"/>
            </w:pPr>
            <w:r>
              <w:t xml:space="preserve">Credential validator (compromised)</w:t>
            </w:r>
          </w:p>
        </w:tc>
        <w:tc>
          <w:tcPr>
            <w:tcW w:w="2260" w:type="dxa"/>
            <w:tcBorders>
              <w:bottom w:val="single" w:sz="2" w:space="0" w:color="BFBFBF"/>
            </w:tcBorders>
            <w:vAlign w:val="top"/>
          </w:tcPr>
          <w:p>
            <w:pPr>
              <w:pStyle w:val="TableText"/>
            </w:pPr>
            <w:r>
              <w:t xml:space="preserve">Device identity (via decryption); the device’s claim and the verdict it issues;</w:t>
            </w:r>
            <w:r>
              <w:t xml:space="preserve"> an opaque, undecryptable blob (Enc_PacketHash, still wrapped under BlindShare_key)</w:t>
            </w:r>
          </w:p>
        </w:tc>
        <w:tc>
          <w:tcPr>
            <w:tcW w:w="3025" w:type="dxa"/>
            <w:tcBorders>
              <w:bottom w:val="single" w:sz="2" w:space="0" w:color="BFBFBF"/>
            </w:tcBorders>
            <w:vAlign w:val="top"/>
          </w:tcPr>
          <w:p>
            <w:pPr>
              <w:pStyle w:val="TableText"/>
            </w:pPr>
            <w:r>
              <w:t xml:space="preserve">Which content was authenticated, confirmed in Appendix A.3 for submissions that share a verdict</w:t>
            </w:r>
          </w:p>
        </w:tc>
        <w:tc>
          <w:tcPr>
            <w:tcW w:w="2190" w:type="dxa"/>
            <w:tcBorders>
              <w:bottom w:val="single" w:sz="2" w:space="0" w:color="BFBFBF"/>
            </w:tcBorders>
            <w:vAlign w:val="top"/>
          </w:tcPr>
          <w:p>
            <w:pPr>
              <w:pStyle w:val="TableText"/>
            </w:pPr>
            <w:r>
              <w:t xml:space="preserve">Property E</w:t>
            </w:r>
          </w:p>
        </w:tc>
      </w:tr>
      <w:tr>
        <w:trPr>
          <w:cantSplit/>
        </w:trPr>
        <w:tc>
          <w:tcPr>
            <w:tcW w:w="1884" w:type="dxa"/>
            <w:tcBorders>
              <w:bottom w:val="single" w:sz="2" w:space="0" w:color="BFBFBF"/>
            </w:tcBorders>
            <w:vAlign w:val="top"/>
          </w:tcPr>
          <w:p>
            <w:pPr>
              <w:pStyle w:val="TableText"/>
            </w:pPr>
            <w:r>
              <w:t xml:space="preserve">Validator and the credential processor, both compromised</w:t>
            </w:r>
          </w:p>
        </w:tc>
        <w:tc>
          <w:tcPr>
            <w:tcW w:w="2260" w:type="dxa"/>
            <w:tcBorders>
              <w:bottom w:val="single" w:sz="2" w:space="0" w:color="BFBFBF"/>
            </w:tcBorders>
            <w:vAlign w:val="top"/>
          </w:tcPr>
          <w:p>
            <w:pPr>
              <w:pStyle w:val="TableText"/>
            </w:pPr>
            <w:r>
              <w:t xml:space="preserve">Device identity and PacketHash together, linkable</w:t>
            </w:r>
          </w:p>
        </w:tc>
        <w:tc>
          <w:tcPr>
            <w:tcW w:w="3025" w:type="dxa"/>
            <w:tcBorders>
              <w:bottom w:val="single" w:sz="2" w:space="0" w:color="BFBFBF"/>
            </w:tcBorders>
            <w:vAlign w:val="top"/>
          </w:tcPr>
          <w:p>
            <w:pPr>
              <w:pStyle w:val="TableText"/>
            </w:pPr>
            <w:r>
              <w:t xml:space="preserve">Nothing</w:t>
            </w:r>
          </w:p>
        </w:tc>
        <w:tc>
          <w:tcPr>
            <w:tcW w:w="2190" w:type="dxa"/>
            <w:tcBorders>
              <w:bottom w:val="single" w:sz="2" w:space="0" w:color="BFBFBF"/>
            </w:tcBorders>
            <w:vAlign w:val="top"/>
          </w:tcPr>
          <w:p>
            <w:pPr>
              <w:pStyle w:val="TableText"/>
            </w:pPr>
            <w:r>
              <w:t xml:space="preserve">Follows directly from the Credential processor compromised alone and Credential validator (compromised) rows above</w:t>
            </w:r>
          </w:p>
        </w:tc>
      </w:tr>
      <w:tr>
        <w:trPr>
          <w:cantSplit/>
        </w:trPr>
        <w:tc>
          <w:tcPr>
            <w:tcW w:w="1884" w:type="dxa"/>
            <w:tcBorders>
              <w:bottom w:val="single" w:sz="12" w:space="0" w:color="000000"/>
            </w:tcBorders>
            <w:vAlign w:val="top"/>
          </w:tcPr>
          <w:p>
            <w:pPr>
              <w:pStyle w:val="TableText"/>
            </w:pPr>
            <w:r>
              <w:t xml:space="preserve">Validator and any one gatekeeper, both compromised</w:t>
            </w:r>
          </w:p>
        </w:tc>
        <w:tc>
          <w:tcPr>
            <w:tcW w:w="2260" w:type="dxa"/>
            <w:tcBorders>
              <w:bottom w:val="single" w:sz="12" w:space="0" w:color="000000"/>
            </w:tcBorders>
            <w:vAlign w:val="top"/>
          </w:tcPr>
          <w:p>
            <w:pPr>
              <w:pStyle w:val="TableText"/>
            </w:pPr>
            <w:r>
              <w:t xml:space="preserve">Device identity and PacketHash together, linkable</w:t>
            </w:r>
          </w:p>
        </w:tc>
        <w:tc>
          <w:tcPr>
            <w:tcW w:w="3025" w:type="dxa"/>
            <w:tcBorders>
              <w:bottom w:val="single" w:sz="12" w:space="0" w:color="000000"/>
            </w:tcBorders>
            <w:vAlign w:val="top"/>
          </w:tcPr>
          <w:p>
            <w:pPr>
              <w:pStyle w:val="TableText"/>
            </w:pPr>
            <w:r>
              <w:t xml:space="preserve">Nothing</w:t>
            </w:r>
          </w:p>
        </w:tc>
        <w:tc>
          <w:tcPr>
            <w:tcW w:w="2190" w:type="dxa"/>
            <w:tcBorders>
              <w:bottom w:val="single" w:sz="12" w:space="0" w:color="000000"/>
            </w:tcBorders>
            <w:vAlign w:val="top"/>
          </w:tcPr>
          <w:p>
            <w:pPr>
              <w:pStyle w:val="TableText"/>
            </w:pPr>
            <w:r>
              <w:t xml:space="preserve">Follows from the Gatekeeper compromised alone and Credential validator (compromised) rows above</w:t>
            </w:r>
          </w:p>
        </w:tc>
      </w:tr>
    </w:tbl>
    <w:p>
      <w:pPr>
        <w:pStyle w:val="Heading1"/>
      </w:pPr>
      <w:r>
        <w:rPr>
          <w:b/>
          <w:bCs/>
        </w:rPr>
        <w:t xml:space="preserve">5 REFERENCE INSTANTIATION: THE BIRTHMARK STANDARD</w:t>
      </w:r>
    </w:p>
    <w:p>
      <w:pPr>
        <w:pStyle w:val="BodyText"/>
      </w:pPr>
      <w:r>
        <w:t xml:space="preserve">The Birthmark Standard instantiates the two-channel provenance architecture for photographic media in journalism contexts. </w:t>
      </w:r>
      <w:r>
        <w:t xml:space="preserve">In the reference deployment, </w:t>
      </w:r>
      <w:r>
        <w:t xml:space="preserve">the device holds a routing table whose lines each name a first hop, a routing code and a destination, and label the destination with a jurisdiction code. A line has no role: the device chooses three lines and decides which one serves the credential path.</w:t>
      </w:r>
      <w:r>
        <w:t xml:space="preserve"> The device selects its first hops outside the jurisdiction it operates in, because they are the only servers that see its network address, </w:t>
      </w:r>
      <w:r>
        <w:t xml:space="preserve">and excludes, for the credential path, any line whose destination label matches its validator’s jurisdiction code.</w:t>
      </w:r>
      <w:r>
        <w:t xml:space="preserve"> For F and I the device skews its choice toward lines with that same code, by an amount the table fixes, so that the codes a first hop sees from a device follow the share of lines in the table and the exclusion leaves no gap.</w:t>
      </w:r>
      <w:r>
        <w:t xml:space="preserve"> The table maps each validator to a jurisdiction code, and codes are merged where needed so that each covers more than one validator once more than one is registered.</w:t>
      </w:r>
    </w:p>
    <w:p>
      <w:pPr>
        <w:pStyle w:val="BodyText"/>
      </w:pPr>
      <w:r>
        <w:t xml:space="preserve">Each line also carries a key for its destination that is blinded for that line, so that a holder of the table cannot tie it to the destination server,</w:t>
      </w:r>
      <w:r>
        <w:t xml:space="preserve"> and a pseudonym for the server that changes each generation, with which the device confirms that its credential processor and its two content servers differ. The later hops are assigned by the routing tables the relay servers hold, so the device does not learn them.</w:t>
      </w:r>
      <w:r>
        <w:t xml:space="preserve"> </w:t>
      </w:r>
      <w:r>
        <w:t xml:space="preserve">Neither the assignment mechanism nor the jurisdiction filters are formally verified in this paper. The device table and the assignment of routes are specified in [3].</w:t>
      </w:r>
      <w:r>
        <w:t xml:space="preserve"> The blinded-key construction has not been reviewed by a cryptographer, and the claim that a table holder cannot tie a blinded key to its destination is conditional on that review.</w:t>
      </w:r>
      <w:r>
        <w:t xml:space="preserve"/>
      </w:r>
    </w:p>
    <w:p>
      <w:pPr>
        <w:pStyle w:val="BodyText"/>
      </w:pPr>
      <w:r>
        <w:t xml:space="preserve">The architecture’s governance instantiation is provided by journalism organizations, fact-checking networks, and press freedom advocates operating under the anti-concentration controls described in Section 6.2.</w:t>
      </w:r>
    </w:p>
    <w:p>
      <w:pPr>
        <w:pStyle w:val="BodyText"/>
      </w:pPr>
      <w:r>
        <w:t xml:space="preserve">Viability on constrained hardware follows from the protocol’s computational requirements. Published benchmarks (Appendix B) indicate that device-side operations require only</w:t>
      </w:r>
      <w:r>
        <w:t xml:space="preserve"> ECIES key encapsulation, AES-256-GCM, and SHA-256, primitives available on virtually all modern embedded processors</w:t>
      </w:r>
      <w:r>
        <w:t xml:space="preserve">, which avoids the zero-knowledge proof generation that is computationally infeasible on this hardware (Section 6.1)</w:t>
      </w:r>
      <w:r>
        <w:t xml:space="preserve">.</w:t>
      </w:r>
    </w:p>
    <w:p>
      <w:pPr>
        <w:pStyle w:val="Heading1"/>
      </w:pPr>
      <w:r>
        <w:rPr>
          <w:b/>
          <w:bCs/>
        </w:rPr>
        <w:t xml:space="preserve">6 DISCUSSION</w:t>
      </w:r>
    </w:p>
    <w:p>
      <w:pPr>
        <w:pStyle w:val="Heading2"/>
      </w:pPr>
      <w:r>
        <w:rPr>
          <w:b/>
          <w:bCs/>
        </w:rPr>
        <w:t xml:space="preserve">6.1 Relationship to Cryptographic Blinding Approaches</w:t>
      </w:r>
    </w:p>
    <w:p>
      <w:pPr>
        <w:pStyle w:val="BodyText"/>
      </w:pPr>
      <w:r>
        <w:t xml:space="preserve">The job is to authenticate a capture device while ensuring that no component can assemble the link between device and content, on hardware inside a camera. Zero-knowledge proofs are the wrong tool for that job. ZK addresses whether a device can prove membership without revealing which member it is; SNA addresses whether any component can assemble the sufficient information set for the target identification function. A ZK-based system does not automatically satisfy SNA, and this architecture satisfies SNA without ZK.</w:t>
      </w:r>
    </w:p>
    <w:p>
      <w:pPr>
        <w:pStyle w:val="BodyText"/>
      </w:pPr>
      <w:r>
        <w:t xml:space="preserve">ZK-proof-based device authentication provides membership-proof guarantees without any credential validator at all, avoiding the coordinated-compromise requirement this architecture still carries</w:t>
      </w:r>
      <w:r>
        <w:t xml:space="preserve">. ZK systems carry computational hardness assumptions, trusted-setup requirements, and proof-generation implementation complexity on constrained hardware in exchange. </w:t>
      </w:r>
      <w:r>
        <w:t xml:space="preserve">This architecture resists validator compromise alone to the same degree (Appendix A.3);</w:t>
      </w:r>
      <w:r>
        <w:t xml:space="preserve"> correlation still requires coordinated compromise of the validator together with C, or together with any one gatekeeper (Section 4.6), a structural cost rather than a cryptographic one.</w:t>
      </w:r>
      <w:r>
        <w:t xml:space="preserve"> This architecture additionally provides a semantic minimization property ZK systems do not inherently provide: the system holds no media content, so no party can perform content-based attribution regardless of protocol-layer guarantees.</w:t>
      </w:r>
    </w:p>
    <w:p>
      <w:pPr>
        <w:pStyle w:val="BodyText"/>
      </w:pPr>
      <w:r>
        <w:t xml:space="preserve">Cost is a second reason. On constrained capture hardware, ZK proof generation, in which multi-scalar multiplication (MSM) is a large share of the work, takes under a minute for a circuit of about 5,000 constraints on a Raspberry Pi Zero W [4], introducing capture-path latency and thermal load incompatible with continuous-capture operation. Device-side key-encapsulation and symmetric operations in this architecture require only lightweight, standard cryptographic primitives, ECIES key encapsulation (two elliptic curve scalar multiplications per operation, seven operations per capture, approximately 2–10 ms in total on ARM Cortex-A class processors [17]) and AES-256-GCM for the token and the credential bundle, several orders of magnitude faster than ZK’s proof-generation overhead. Hashing the media content itself is this architecture’s larger, unavoidable cost, roughly 430–600 ms for a representative RAW file on the same conservative embedded baseline (Appendix B). If a zero-knowledge design must also prove the hash of the media inside the circuit, the cost is higher still. Bünz, Rothblum, and Wang’s Flock system [19], the fastest SHA-256-proving result we are aware of, takes on the order of 11 seconds for a comparably sized file on a single core of an Apple M4 Max, a desktop-class processor no camera has; Flock does not yet provide zero-knowledge, and Binius64, the prior state of the art that does, takes about 94 seconds on the same core [19]. Compared with ZK’s best case, this architecture’s worst case remains orders of magnitude faster (Table A.3).</w:t>
      </w:r>
    </w:p>
    <w:p>
      <w:pPr>
        <w:pStyle w:val="Heading2"/>
      </w:pPr>
      <w:r>
        <w:rPr>
          <w:b/>
          <w:bCs/>
        </w:rPr>
        <w:t xml:space="preserve">6.2 Bounded Disclosure Under Compromise</w:t>
      </w:r>
    </w:p>
    <w:p>
      <w:pPr>
        <w:pStyle w:val="BodyText"/>
      </w:pPr>
      <w: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t xml:space="preserve">Where it is attempted, a compelled single infrastructure component yields</w:t>
      </w:r>
      <w:r>
        <w:t xml:space="preserve"> only the bounded disclosure characterized in </w:t>
      </w:r>
      <w:r>
        <w:t xml:space="preserve">Table </w:t>
      </w:r>
      <w:r>
        <w:t xml:space="preserve">4</w:t>
      </w:r>
      <w: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and either outcome is publicly observable through the audit record, converting geopolitical legal pressure from a silent compromise vector into a visible governance event.</w:t>
      </w:r>
      <w:r>
        <w:t xml:space="preserve"> The 67% supermajority required for finalization means a compelled minority cannot suppress records while the removal process completes.</w:t>
      </w:r>
    </w:p>
    <w:p>
      <w:pPr>
        <w:pStyle w:val="BodyText"/>
      </w:pPr>
      <w:r>
        <w:t xml:space="preserve">The audited constraint preservation model treats this explicitly: the consortium governance layer provides continuous public auditability of constraint satisfaction, so any degradation of structural independence </w:t>
      </w:r>
      <w:r>
        <w:t xml:space="preserve">can be detected</w:t>
      </w:r>
      <w:r>
        <w:t xml:space="preserve"> through the public audit record before it becomes exploitable</w:t>
      </w:r>
      <w:r>
        <w:t xml:space="preserve">. This is a detection opportunity, not a detection guarantee or a cryptographic one: </w:t>
      </w:r>
      <w:r>
        <w:t xml:space="preserve">an adversary with sufficient control over the governance process could suppress the audit signal. </w:t>
      </w:r>
      <w:r>
        <w:t xml:space="preserve">Timing analysis, traffic analysis, validator behavior leakage, and operational metadata correlation remain partially possible regardless (Section 6.3; Appendix D).</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w:t>
      </w:r>
      <w:r>
        <w:t xml:space="preserve">(per the separate governance charter)</w:t>
      </w:r>
      <w:r>
        <w:t xml:space="preserve">, with related entities treated as a single governance actor for ownership-limit purposes.</w:t>
      </w:r>
      <w:r>
        <w:t xml:space="preserve"> Operational hardening can extend further: submission servers and validators can limit recorded event timestamps in operational logs to coarse windows</w:t>
      </w:r>
      <w: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pPr>
      <w:r>
        <w:t xml:space="preserve">The PacketHash-discard requirement in Section 3.2 can also be checked directly: a submitter can supply the ContentHash and n from one of their own past submissions (the only party who ever holds n), </w:t>
      </w:r>
      <w:r>
        <w:t xml:space="preserve">letting the governance body recompute PacketHash and search the logs of every party that handled it for any residual copy of PacketHash, BlindShare_key, the signed Enc_PacketHash blob, or C’s ring signature; the credential validator is excluded, since it never recovers PacketHash.</w:t>
      </w:r>
      <w:r>
        <w:t xml:space="preserve"> The same submitter-initiated technique extends to the routing code each Addressed-hop server reads on the first relay hop (Section 3.2): a submitter who knows the routing code from their own past submission can ask the governance body to search that server’s logs for any residual copy. Any residual copy found is a governance violation, handled through the same removal process as other constraint failures</w:t>
      </w:r>
      <w:r>
        <w:t xml:space="preserve">. The audit is necessarily submitter-initiated rather than a blanket scan, since only the original n makes a specific PacketHash identifiable; it is a detective control confirming the discard requirement after the fact, not a preventive one that stops retention from happening.</w:t>
      </w:r>
    </w:p>
    <w:p>
      <w:pPr>
        <w:pStyle w:val="BodyText"/>
      </w:pPr>
      <w:r>
        <w:t xml:space="preserve">Excluding organizations with direct media-production or commercial content interests from Registry Node governance reduces conflict-of-interest risk to censorship-resistance and provenance claims; credential validators (camera manufacturers) operate outside consortium governance by design, accepting that manufacturer independence from editorial governance is preserved at the cost of no formal manufacturer voice in protocol decisions.</w:t>
      </w:r>
    </w:p>
    <w:p>
      <w:pPr>
        <w:pStyle w:val="Heading2"/>
      </w:pPr>
      <w:r>
        <w:rPr>
          <w:b/>
          <w:bCs/>
        </w:rPr>
        <w:t xml:space="preserve">6.3 Limitations</w:t>
      </w:r>
    </w:p>
    <w:p>
      <w:pPr>
        <w:pStyle w:val="BodyText"/>
      </w:pPr>
      <w:r>
        <w:rPr>
          <w:b/>
          <w:bCs/>
        </w:rPr>
        <w:t xml:space="preserve">Scope: traffic-analysis resistance is empirical, not formally verified.</w:t>
      </w:r>
      <w:r>
        <w:t xml:space="preserve"> Appendix D reports an empirical evaluation against all seven vantage points the adversary model defines: a passive network observer holding no keys, and each single-component adversary holding its own legitimate keys and exact internal event timing simultaneously. </w:t>
      </w:r>
      <w:r>
        <w:t xml:space="preserve">At every tested volume, from the primary operating point (R = 1 real transaction in flight, 60 decoys) to R = 100, </w:t>
      </w:r>
      <w:r>
        <w:t xml:space="preserve">no compromised component’s point estimate exceeds the passive observer’s by more than a quarter of a point, a margin we treat as effectively indistinguishable from it.</w:t>
      </w:r>
      <w:r>
        <w:t xml:space="preserve"> </w:t>
      </w:r>
      <w:r>
        <w:t xml:space="preserve">All components become less accurate in absolute terms as real traffic grows, and each remains about 4 to 5 times as accurate as a guess among the devices that could have produced the record. </w:t>
      </w:r>
      <w:r>
        <w:t xml:space="preserve">The largest lead is the content server’s at R = 100 (+0.24 points, 95% interval +0.18 to +0.30; Appendix D). The upper end of that interval is 0.30, so a quarter of a point describes point estimates and is not a bound.</w:t>
      </w:r>
      <w:r>
        <w:t xml:space="preserve"> No component can identify which of its guesses are correct at any tested volume: the precision of every component’s most-confident 1 % of guesses stays below 50 %, and fewer than 0.1 % of any component’s guesses fall in a group that is right more than half the time. This is a statistical measurement of a simulated implementation and carries less certainty than the ProVerif results in Appendix A.</w:t>
      </w:r>
    </w:p>
    <w:p>
      <w:pPr>
        <w:pStyle w:val="BodyText"/>
      </w:pPr>
      <w:r>
        <w:rPr>
          <w:b/>
          <w:bCs/>
        </w:rPr>
        <w:t xml:space="preserve">Scope: hardware provenance only.</w:t>
      </w:r>
      <w:r>
        <w:t xml:space="preserve"> </w:t>
      </w:r>
      <w:r>
        <w:t xml:space="preserve">Records confirm only that content originated from a registered device (Section 1.2). Staged content passes verification, as do photographs of screens, prints and projections.</w:t>
      </w:r>
    </w:p>
    <w:p>
      <w:pPr>
        <w:pStyle w:val="BodyText"/>
      </w:pPr>
      <w:r>
        <w:rPr>
          <w:b/>
          <w:bCs/>
        </w:rPr>
        <w:t xml:space="preserve">Scope: exact rather than perceptual hashing.</w:t>
      </w:r>
      <w:r>
        <w:t xml:space="preserve"> G3 relies on SHA-256, an exact hash: any bit-level change outside certified processing software, including transformations a viewer would consider harmless (recompression, resizing, format conversion), breaks the match. A perceptual hash, tolerant of such transformations by design, </w:t>
      </w:r>
      <w:r>
        <w:t xml:space="preserve">would extend coverage to uncertified reprocessing without requiring platform participation (see Adoption dependency, below).</w:t>
      </w:r>
      <w:r>
        <w:t xml:space="preserve"> </w:t>
      </w:r>
      <w:r>
        <w:t xml:space="preserve">It would also introduce a different attack surface: perceptual hashes treat similar images as the same, which is the property an adversary substituting a visually close image would exploit, trading a false-negative problem for a false-positive one.</w:t>
      </w:r>
      <w:r>
        <w:t xml:space="preserve"> This architecture accepts the exact-match tradeoff; a perceptual layer could be added on top of it, not in place of it, without changing the properties proven in Appendix A.</w:t>
      </w:r>
    </w:p>
    <w:p>
      <w:pPr>
        <w:pStyle w:val="BodyText"/>
      </w:pPr>
      <w:r>
        <w:rPr>
          <w:b/>
          <w:bCs/>
        </w:rPr>
        <w:t xml:space="preserve">Scope: anonymity set is per-manufacturer, not ecosystem-wide.</w:t>
      </w:r>
      <w:r>
        <w:t xml:space="preserve"> </w:t>
      </w:r>
      <w:r>
        <w:t xml:space="preserve">C learns which manufacturer’s key-table entry a submission uses, since key_ref travels to C in the clear as part of the credential bundle. Against C, this narrows the practical anonymity set for that submission to devices registered with that one manufacturer, not the full population of registered devices across every manufacturer. The gatekeepers and match boards do not learn it: they check the validator’s signature against Ring V, which shows only that some registered validator signed.</w:t>
      </w:r>
      <w:r>
        <w:t xml:space="preserve"> </w:t>
      </w:r>
      <w:r>
        <w:t xml:space="preserve">Table </w:t>
      </w:r>
      <w:r>
        <w:t xml:space="preserve">4</w:t>
      </w:r>
      <w:r>
        <w:t xml:space="preserve">’s</w:t>
      </w:r>
      <w:r>
        <w:t xml:space="preserve"> non-correlation guarantees hold within that narrowed set: a manufacturer with few registered devices offers a correspondingly small anonymity set, regardless of how many devices other manufacturers have registered.</w:t>
      </w:r>
      <w:r>
        <w:t xml:space="preserve"> Ring V’s size is the number of registered validators, so the hiding it gives the gatekeepers grows only as validators register. With one registered validator it hides nothing.</w:t>
      </w:r>
      <w:r>
        <w:t xml:space="preserve"/>
      </w:r>
    </w:p>
    <w:p>
      <w:pPr>
        <w:pStyle w:val="BodyText"/>
      </w:pPr>
      <w:r>
        <w:t xml:space="preserve">A first-hop relay that also holds the device table learns the jurisdiction code of </w:t>
      </w:r>
      <w:r>
        <w:t xml:space="preserve">the destination behind each routing code, and which of its routing codes share a destination.</w:t>
      </w:r>
      <w:r>
        <w:t xml:space="preserve"> It does not learn </w:t>
      </w:r>
      <w:r>
        <w:t xml:space="preserve">the destination’s identity, because the device encrypts to a key blinded for that line, which cannot be tied to the destination without solving a Diffie-Hellman problem.</w:t>
      </w:r>
      <w:r>
        <w:t xml:space="preserve"> That claim is conditional on a cryptographer’s review of the construction, which has not been done.</w:t>
      </w:r>
      <w:r>
        <w:t xml:space="preserve"> It also cannot tell whether a packet is a credential packet or a content packet.</w:t>
      </w:r>
      <w:r>
        <w:t xml:space="preserve"> </w:t>
      </w:r>
      <w:r>
        <w:t xml:space="preserve">If one code’s destination is learned by other means</w:t>
      </w:r>
      <w:r>
        <w:t xml:space="preserve">, such as a colluding second hop, every code that shares its pseudonym resolves for that generation.</w:t>
      </w:r>
      <w:r>
        <w:t xml:space="preserve"/>
      </w:r>
    </w:p>
    <w:p>
      <w:pPr>
        <w:pStyle w:val="BodyText"/>
      </w:pPr>
      <w:r>
        <w:t xml:space="preserve">A device never uses its own validator’s code for C, so that code would appear less often among its packets. The device skews its choice of F and I toward that code to remove the gap. In a simulation with 17 destination servers in 8 codes of unequal size, the gap between the codes a first hop sees and the shares of lines in the table fell from 5.1 points to 0.5. Without the skew, in a simple model with 8 equal codes, a first hop named the validator’s code 51% of the time after 100 packets from one device and 99.7% after 1,000, against 12.5% by chance. The skew leaves F, I and the registry nodes, which see which servers submitted a record, with weak evidence: with 8 equal codes, F and I both in the validator’s code make it 2.6 times as likely. These are simple models, and real line shares and code sizes will differ.</w:t>
      </w:r>
    </w:p>
    <w:p>
      <w:pPr>
        <w:pStyle w:val="BodyText"/>
      </w:pPr>
      <w:r>
        <w:rPr>
          <w:b/>
          <w:bCs/>
        </w:rPr>
        <w:t xml:space="preserve">Adoption dependency.</w:t>
      </w:r>
      <w:r>
        <w:t xml:space="preserve"> </w:t>
      </w:r>
      <w:r>
        <w:t xml:space="preserve">The system provides positive verification only. Content from devices whose manufacturers have not registered as credential validators lacks registry records and passes through the system unverified, so coverage is bounded by manufacturer participation, not by the architecture.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processing software: content reprocessed by a platform that has not adopted certified processing software (Section 4.2, G3)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BodyText"/>
      </w:pPr>
      <w:r>
        <w:rPr>
          <w:b/>
          <w:bCs/>
        </w:rPr>
        <w:t xml:space="preserve">Content hash collision.</w:t>
      </w:r>
      <w:r>
        <w:t xml:space="preserve"> </w:t>
      </w:r>
      <w:r>
        <w:t xml:space="preserve">Verification records are bound to content hashes, not content. At realistic submission volumes (10^9 per day), accidental SHA-256 collisions are negligible, and constructing a coherent image that collides with a target hash is computationally infeasible and outside the defined adversary model.</w:t>
      </w:r>
    </w:p>
    <w:p>
      <w:pPr>
        <w:pStyle w:val="BodyText"/>
      </w:pPr>
      <w:r>
        <w:rPr>
          <w:b/>
          <w:bCs/>
        </w:rPr>
        <w:t xml:space="preserve">Hardware assumptions.</w:t>
      </w:r>
      <w:r>
        <w:t xml:space="preserve"> Device credentials depend on secure-element integrity (A_HW, Section 4.1); </w:t>
      </w:r>
      <w:r>
        <w:t xml:space="preserve">the picture may change</w:t>
      </w:r>
      <w:r>
        <w:t xml:space="preserve"> as hardware attack techniques evolve.</w:t>
      </w:r>
    </w:p>
    <w:p>
      <w:pPr>
        <w:pStyle w:val="BodyText"/>
      </w:pPr>
      <w:r>
        <w:rPr>
          <w:b/>
          <w:bCs/>
        </w:rPr>
        <w:t xml:space="preserve">Data classification under GDPR.</w:t>
      </w:r>
      <w:r>
        <w:t xml:space="preserve"> </w:t>
      </w:r>
      <w:r>
        <w:t xml:space="preserve">The registry holds only content hashes and coarsened timestamps, and no component retains device identifiers or photographer identity. A content hash of a photograph of an identifiable individual may still constitute personal data under GDPR Article 4(1) in the hands of a party that holds the underlying media. Whether it does is a deployment-specific legal question outside the scope of this paper.</w:t>
      </w:r>
    </w:p>
    <w:p>
      <w:pPr>
        <w:pStyle w:val="Heading1"/>
      </w:pPr>
      <w:r>
        <w:rPr>
          <w:b/>
          <w:bCs/>
        </w:rPr>
        <w:t xml:space="preserve">7 CONCLUSION</w:t>
      </w:r>
    </w:p>
    <w:p>
      <w:pPr>
        <w:pStyle w:val="BodyText"/>
      </w:pPr>
      <w:r>
        <w:t xml:space="preserve">A breach of any single component of the Birthmark Protocol exposes a fragment, not a map of who photographed what.</w:t>
      </w:r>
      <w:r>
        <w:t xml:space="preserve"> Semantic Non-Assembly applies wherever a target identification function is authorized but must not be passively available.</w:t>
      </w:r>
    </w:p>
    <w:p>
      <w:pPr>
        <w:pStyle w:val="BodyText"/>
      </w:pPr>
      <w:r>
        <w:t xml:space="preserve">The architecture establishes three tiers of claim. First, no component ever holds sufficient information to correlate a device to content, and the system never holds media content at any stage; bulk attribution or photographer enumeration across many devices or many pieces of content therefore remains structurally hard even under full operator collusion, because every correlation starts from a specific candidate image already in hand.</w:t>
      </w:r>
      <w:r>
        <w:t xml:space="preserve"> Second, targeted correlation of one already-possessed image to its originating device is prevented against the compromise of any single component (the credential validator, C, a gatekeeper, or either content-channel submission server), confirmed in Appendix A.3.</w:t>
      </w:r>
      <w:r>
        <w:t xml:space="preserve"> Third, coordinated compromise of the validator together with C, or with any one gatekeeper, defeats the guarantee. The structural difficulty of bulk attribution limits the damage of such a compromise, but it is not a reason to tolerate one (Section 4.6).</w:t>
      </w:r>
    </w:p>
    <w:p>
      <w:pPr>
        <w:pStyle w:val="BodyText"/>
      </w:pPr>
      <w:r>
        <w:t xml:space="preserve">The proofs do not model timing or packet size, so Appendix D evaluates traffic analysis empirically, in simulation. At every tested volume, </w:t>
      </w:r>
      <w:r>
        <w:t xml:space="preserve">no compromised component’s point estimate exceeds a passive observer’s by more than a quarter of a point,</w:t>
      </w:r>
      <w:r>
        <w:t xml:space="preserve"> and none can tell which of its guesses are correct; the largest lead is the content server’s, </w:t>
      </w:r>
      <w:r>
        <w:t xml:space="preserve">+0.24 points at 100 real transactions in flight (95% interval +0.18 to +0.30).</w:t>
      </w:r>
      <w:r>
        <w:t xml:space="preserve"> This is a statistical measurement of a simulated implementation and carries less certainty than the ProVerif results.</w:t>
      </w:r>
    </w:p>
    <w:p>
      <w:pPr>
        <w:pStyle w:val="BodyText"/>
      </w:pPr>
      <w:r>
        <w:t xml:space="preserve">Viability on constrained hardware follows from the protocol’s computational requirements: device-side operations require only lightweight, standard cryptographic primitives, and their cost, estimated from published benchmarks (Appendix B), is within the range of commodity embedded processors, where zero-knowledge proof generation is computationally infeasible.</w:t>
      </w:r>
      <w:r>
        <w:t xml:space="preserve"> A reference instantiation (the Birthmark Standard) demonstrates governance by journalism organizations operating on commodity hardware at low per-node cost. The specification and reference implementation are published under Apache 2.0.</w:t>
      </w:r>
    </w:p>
    <w:p>
      <w:pPr>
        <w:pStyle w:val="BodyText"/>
      </w:pPr>
      <w:r>
        <w:t xml:space="preserve">Components will be compromised. In our simulated evaluation at the primary operating point, a compromised component named the originating device no measurably more often than an outside observer holding no keys.</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 </w:t>
      </w:r>
      <w:r>
        <w:t xml:space="preserve">The author used Anthropic’s Claude Sonnet 4.6, 5.0 and 5.5, and Claude Opus 5.5 while preparing this work. The models assisted with drafting and revising the manuscript text; with writing and revising the ProVerif models and the simulation code; and with checking the manuscript for internal consistency and checking its references. The author designed the protocol, made all design decisions, reviewed all model output, and is responsible for the content of this paper.</w:t>
      </w:r>
    </w:p>
    <w:p>
      <w:pPr>
        <w:pStyle w:val="BodyText"/>
      </w:pPr>
      <w:r>
        <w:rPr>
          <w:b/>
          <w:bCs/>
        </w:rPr>
        <w:t xml:space="preserve">Funding. </w:t>
      </w:r>
      <w:r>
        <w:t xml:space="preserve">This work received no grant funding.</w:t>
      </w:r>
    </w:p>
    <w:p>
      <w:pPr>
        <w:pStyle w:val="BodyText"/>
      </w:pPr>
      <w:r>
        <w:rPr>
          <w:b/>
          <w:bCs/>
        </w:rPr>
        <w:t xml:space="preserve">Competing interests. </w:t>
      </w:r>
      <w:r>
        <w:t xml:space="preserve">The author is the founder of the Birthmark Standard Foundation, which develops the Birthmark Protocol described in this paper.</w:t>
      </w:r>
    </w:p>
    <w:p>
      <w:pPr>
        <w:pStyle w:val="Heading1"/>
      </w:pPr>
      <w:r>
        <w:rPr>
          <w:b/>
          <w:bCs/>
        </w:rPr>
        <w:t xml:space="preserve">REFERENCES</w:t>
      </w:r>
    </w:p>
    <w:p>
      <w:pPr>
        <w:pStyle w:val="BodyText"/>
      </w:pPr>
      <w:r>
        <w:t xml:space="preserve">[1] Coalition for Content Provenance and Authenticity. C2PA Technical Specification, Version 2.4. April 2026. https://spec.c2pa.org/specifications/specifications/2.4/specs/C2PA_Specification.html</w:t>
      </w:r>
    </w:p>
    <w:p>
      <w:pPr>
        <w:pStyle w:val="BodyText"/>
      </w:pPr>
      <w:r>
        <w:t xml:space="preserve">[2] Abadi, M.; Blanchet, B.; Fournet, C. The Applied Pi Calculus: Mobile Values, New Names, and Secure Communication. Journal of the ACM, 65(1), Article 1, pp. 1–41, 2018. DOI: 10.1145/3127586.</w:t>
      </w:r>
    </w:p>
    <w:p>
      <w:pPr>
        <w:pStyle w:val="BodyText"/>
      </w:pPr>
      <w:r>
        <w:t xml:space="preserve">[3] Ryan, S. Birthmark Protocol Integration. arXiv:2602.04933, 2026. (arXiv preprint; not independently peer-reviewed at time of this submission.)</w:t>
      </w:r>
    </w:p>
    <w:p>
      <w:pPr>
        <w:pStyle w:val="BodyText"/>
      </w:pPr>
      <w:r>
        <w:t xml:space="preserve">[4] Salleras, X.; Daza, V. ZPiE: Zero-Knowledge Proofs in Embedded Systems. Mathematics 2021, 9(20), 2569. https://doi.org/10.3390/math9202569</w:t>
      </w:r>
    </w:p>
    <w:p>
      <w:pPr>
        <w:pStyle w:val="BodyText"/>
      </w:pPr>
      <w:r>
        <w:t xml:space="preserve">[5] Saltzer, J.H.; Schroeder, M.D. The Protection of Information in Computer Systems. Proceedings of the IEEE, 63(9), 1278–1308, 1975.</w:t>
      </w:r>
    </w:p>
    <w:p>
      <w:pPr>
        <w:pStyle w:val="BodyText"/>
      </w:pPr>
      <w:r>
        <w:t xml:space="preserve">[6] Groth, J. On the Size of Pairing-Based Non-Interactive Arguments. EUROCRYPT 2016, LNCS vol. 9666, pp. 305–326. DOI: 10.1007/978-3-662-49896-5_11.</w:t>
      </w:r>
    </w:p>
    <w:p>
      <w:pPr>
        <w:pStyle w:val="BodyText"/>
      </w:pPr>
      <w:r>
        <w:t xml:space="preserve">[7] Cavoukian, A. Privacy by Design: The 7 Foundational Principles. IPC Ontario, revised January 2011.</w:t>
      </w:r>
    </w:p>
    <w:p>
      <w:pPr>
        <w:pStyle w:val="BodyText"/>
      </w:pPr>
      <w:r>
        <w:t xml:space="preserve">[8] Abadi, M.; Rogaway, P. Reconciling Two Views of Cryptography. Journal of Cryptology, 15(2), 103–127, 2002. DOI: 10.1007/s00145-001-0014-7.</w:t>
      </w:r>
    </w:p>
    <w:p>
      <w:pPr>
        <w:pStyle w:val="BodyText"/>
      </w:pPr>
      <w:r>
        <w:t xml:space="preserve">[9] Ben-Or, M.; Goldwasser, S.; Wigderson, A. Completeness Theorems for Non-Cryptographic Fault-Tolerant Distributed Computation. STOC 1988, pp. 1–10. DOI: 10.1145/62212.62213.</w:t>
      </w:r>
    </w:p>
    <w:p>
      <w:pPr>
        <w:pStyle w:val="BodyText"/>
      </w:pPr>
      <w:r>
        <w:t xml:space="preserve">[10] Nissenbaum, H. Privacy as Contextual Integrity. Washington Law Review, 79(1), 119–157, 2004.</w:t>
      </w:r>
    </w:p>
    <w:p>
      <w:pPr>
        <w:pStyle w:val="BodyText"/>
      </w:pPr>
      <w:r>
        <w:t xml:space="preserve">[11] Dwork, C.; McSherry, F.; Nissim, K.; Smith, A. Calibrating Noise to Sensitivity in Private Data Analysis. TCC 2006, LNCS vol. 3876, pp. 265–284. DOI: 10.1007/11681878_14.</w:t>
      </w:r>
    </w:p>
    <w:p>
      <w:pPr>
        <w:pStyle w:val="BodyText"/>
      </w:pPr>
      <w:r>
        <w:t xml:space="preserve">[12] Hoepman, J.-H. Privacy Design Strategies. arXiv:1210.6621, 2012.</w:t>
      </w:r>
    </w:p>
    <w:p>
      <w:pPr>
        <w:pStyle w:val="BodyText"/>
      </w:pPr>
      <w:r>
        <w:t xml:space="preserve">[13] Chong, S.; van der Meyden, R. Using Architecture to Reason About Information Security. ACM Transactions on Information and System Security, 18(2), Article 8, 2015. DOI: 10.1145/2829949.</w:t>
      </w:r>
    </w:p>
    <w:p>
      <w:pPr>
        <w:pStyle w:val="BodyText"/>
      </w:pPr>
      <w:r>
        <w:t xml:space="preserve">[14] Tamada, H.; Nakamura, M.; Monden, A.; Matsumoto, K. Java Birthmarks — Detecting the Software Theft. IEICE Transactions on Information and Systems, E88-D(9), 2148–2158, 2005. DOI: 10.1093/ietisy/e88-d.9.2148.</w:t>
      </w:r>
    </w:p>
    <w:p>
      <w:pPr>
        <w:pStyle w:val="BodyText"/>
      </w:pPr>
      <w:r>
        <w:t xml:space="preserve">[15] Dingledine, R.; Mathewson, N.; Syverson, P. Tor: The Second-Generation Onion Router. Proceedings of the 13th USENIX Security Symposium, 2004.</w:t>
      </w:r>
    </w:p>
    <w:p>
      <w:pPr>
        <w:pStyle w:val="BodyText"/>
      </w:pPr>
      <w:r>
        <w:t xml:space="preserve">[16] Identity Theft Resource Center. 2025 Annual Data Breach Report. January 29, 2026. https://www.idtheftcenter.org/post/2025-annual-data-breach-report-record-number-compromises/</w:t>
      </w:r>
    </w:p>
    <w:p>
      <w:pPr>
        <w:pStyle w:val="BodyText"/>
      </w:pPr>
      <w:r>
        <w:t xml:space="preserve">[17] Bernstein, D.J.; Schwabe, P. NEON Crypto. CHES 2012. LNCS vol. 7428, pp. 320–339. DOI: 10.1007/978-3-642-33027-8_19.</w:t>
      </w:r>
    </w:p>
    <w:p>
      <w:pPr>
        <w:pStyle w:val="BodyText"/>
      </w:pPr>
      <w:r>
        <w:t xml:space="preserve">[18] Bernstein, D.J.; Lange, T. (eds.). eBACS: ECRYPT Benchmarking of Cryptographic Systems. https://bench.cr.yp.to (accessed 2026).</w:t>
      </w:r>
    </w:p>
    <w:p>
      <w:pPr>
        <w:pStyle w:val="BodyText"/>
      </w:pPr>
      <w:r>
        <w:t xml:space="preserve">[19] Bünz, B.; Rothblum, R.D.; Wang, W. Flock: Fast Proving for Batch Boolean Computations. arXiv:2607.27491, 2026.</w:t>
      </w:r>
    </w:p>
    <w:p>
      <w:pPr>
        <w:pStyle w:val="BodyText"/>
      </w:pPr>
      <w:r>
        <w:t xml:space="preserve">[20] Davidson, A.; Iyengar, J.; Wood, C.A. The Privacy Pass Architecture. RFC 9576, IETF, June 2024.</w:t>
      </w:r>
    </w:p>
    <w:p>
      <w:pPr>
        <w:pStyle w:val="BodyText"/>
      </w:pPr>
      <w:r>
        <w:t xml:space="preserve">[21] Brickell, E.; Camenisch, J.; Chen, L. Direct Anonymous Attestation. Proceedings of the 11th ACM Conference on Computer and Communications Security (CCS), pp. 132–145, 2004. DOI: 10.1145/1030083.1030103.</w:t>
      </w:r>
    </w:p>
    <w:p>
      <w:pPr>
        <w:pStyle w:val="BodyText"/>
      </w:pPr>
      <w:r>
        <w:t xml:space="preserve">[22] Thomson, M.; Wood, C.A. Oblivious HTTP. RFC 9458, IETF, January 2024.</w:t>
      </w:r>
    </w:p>
    <w:p>
      <w:pPr>
        <w:pStyle w:val="BodyText"/>
      </w:pPr>
      <w:r>
        <w:t xml:space="preserve">[23] Lund, J. Technology Preview: Sealed Sender for Signal. Signal blog, October 29, 2018. https://signal.org/blog/sealed-sender/</w:t>
      </w:r>
    </w:p>
    <w:p>
      <w:pPr>
        <w:pStyle w:val="BodyText"/>
      </w:pPr>
      <w:r>
        <w:t xml:space="preserve">[24] Martiny, I.; Kaptchuk, G.; Aviv, A.; Roche, D.; Wustrow, E. Improving Signal’s Sealed Sender. NDSS 2021.</w:t>
      </w:r>
    </w:p>
    <w:p>
      <w:pPr>
        <w:pStyle w:val="BodyText"/>
      </w:pPr>
      <w:r>
        <w:t xml:space="preserve">[25] Corrigan-Gibbs, H.; Boneh, D. Prio: Private, Robust, and Scalable Computation of Aggregate Statistics. 14th USENIX Symposium on Networked Systems Design and Implementation (NSDI 17), 2017.</w:t>
      </w:r>
    </w:p>
    <w:p>
      <w:pPr>
        <w:pStyle w:val="Heading1"/>
      </w:pPr>
      <w:r>
        <w:rPr>
          <w:b/>
          <w:bCs/>
        </w:rPr>
        <w:t xml:space="preserve">APPENDIX A: PROVERIF FORMAL VERIFICATION</w:t>
      </w:r>
    </w:p>
    <w:p>
      <w:pPr>
        <w:pStyle w:val="Heading2"/>
      </w:pPr>
      <w:r>
        <w:rPr>
          <w:b/>
          <w:bCs/>
        </w:rPr>
        <w:t xml:space="preserve">A.1 Overview</w:t>
      </w:r>
    </w:p>
    <w:p>
      <w:pPr>
        <w:pStyle w:val="BodyText"/>
      </w:pPr>
      <w:r>
        <w:t xml:space="preserve">This appendix presents the formal verification of the privacy properties described in Section 4 using ProVerif 2.05, a cryptographic protocol verifier that relies on a process algebra, the applied pi-calculus [2], to model protocol participants and prove security properties. </w:t>
      </w:r>
      <w:r>
        <w:t xml:space="preserve">Full source for the nine models, their twins and a pipeline-liveness model is maintained at</w:t>
      </w:r>
      <w:r>
        <w:t xml:space="preserve"> https://github.com/Birthmark-Standard/Protocol; this appendix states what each model tests and its confirmed result, not the executable source itself. </w:t>
      </w:r>
      <w:r>
        <w:t xml:space="preserve">Nine models establish ten properties: Properties A and E share two models, Properties C and F share one, and Properties G and I share two (Table A.1).</w:t>
      </w:r>
      <w:r>
        <w:t xml:space="preserve"> ProVerif identifiers cannot contain hyphens, so the models write the paper’s terms in lowercase: packethash and blindshare_key; v_token and v_sign for the validator’s token-decryption and signing keys; c_device for C’s relay-terminus key; f_device and i_device for a content-channel server’s relay-terminus key; f_id and i_id for its separate registry-signing key; and g1 and g1_sign for a gatekeeper’s relay-terminus and countersignature keys (each with a _pk or _sk suffix).</w:t>
      </w:r>
    </w:p>
    <w:p>
      <w:pPr>
        <w:pStyle w:val="BodyText"/>
      </w:pPr>
      <w:r>
        <w:t xml:space="preserve">The ProVerif models capture the core separation property: the device sends the content channel to the content-channel submission servers and the credential channel to C, as disjoint, independently-encrypted transmissions; C forwards a blinded record hash to the validator and </w:t>
      </w:r>
      <w:r>
        <w:t xml:space="preserve">receives back a verdict with a signature over the verdict and that still-blinded value. C then signs the PacketHash and the verdict, and sends both signatures to the gatekeepers, which check them and post to their own boards. Each content-channel server independently recomputes its own candidate PacketHash, optional fields included, checks it against the quorum of boards, and signs its registry entry once the quorum agrees.</w:t>
      </w:r>
      <w:r>
        <w:t xml:space="preserve"> The models omit optional implementation details such as timestamp rounding and key table indexing</w:t>
      </w:r>
      <w:r>
        <w:t xml:space="preserve">.</w:t>
      </w:r>
      <w:r>
        <w:t xml:space="preserve"> Three rules govern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p>
    <w:p>
      <w:pPr>
        <w:pStyle w:val="BodyText"/>
      </w:pPr>
      <w:r>
        <w:t xml:space="preserve">ProVerif operates under the Dolev-Yao adversary model: the adversary controls the network, can intercept and inject messages on public channels, but cannot break cryptographic primitives (AES-256, SHA-256). </w:t>
      </w:r>
      <w:r>
        <w:t xml:space="preserve">This is consistent with the Network Adversary (A_NET) defined in Section 4.1.</w:t>
      </w:r>
    </w:p>
    <w:p>
      <w:pPr>
        <w:pStyle w:val="BodyText"/>
      </w:pPr>
      <w:r>
        <w:t xml:space="preserve">Table A.1 summarizes the ten verified properties, the ProVerif model used for each, and the proof technique applied.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00"/>
        <w:gridCol w:w="3450"/>
        <w:gridCol w:w="1450"/>
        <w:gridCol w:w="3360"/>
      </w:tblGrid>
      <w:tr>
        <w:trPr>
          <w:cantSplit/>
          <w:tblHeader w:val="true"/>
        </w:trPr>
        <w:tc>
          <w:tcPr>
            <w:tcW w:w="1100" w:type="dxa"/>
            <w:tcBorders>
              <w:top w:val="single" w:sz="12" w:space="0" w:color="000000"/>
              <w:bottom w:val="single" w:sz="6" w:space="0" w:color="000000"/>
            </w:tcBorders>
            <w:vAlign w:val="bottom"/>
          </w:tcPr>
          <w:p>
            <w:pPr>
              <w:pStyle w:val="TableText"/>
            </w:pPr>
            <w:r>
              <w:rPr>
                <w:b/>
                <w:bCs/>
              </w:rPr>
              <w:t xml:space="preserve">Property</w:t>
            </w:r>
          </w:p>
        </w:tc>
        <w:tc>
          <w:tcPr>
            <w:tcW w:w="3450" w:type="dxa"/>
            <w:tcBorders>
              <w:top w:val="single" w:sz="12" w:space="0" w:color="000000"/>
              <w:bottom w:val="single" w:sz="6" w:space="0" w:color="000000"/>
            </w:tcBorders>
            <w:vAlign w:val="bottom"/>
          </w:tcPr>
          <w:p>
            <w:pPr>
              <w:pStyle w:val="TableText"/>
            </w:pPr>
            <w:r>
              <w:rPr>
                <w:b/>
                <w:bCs/>
              </w:rPr>
              <w:t xml:space="preserve">Model</w:t>
            </w:r>
          </w:p>
        </w:tc>
        <w:tc>
          <w:tcPr>
            <w:tcW w:w="1450" w:type="dxa"/>
            <w:tcBorders>
              <w:top w:val="single" w:sz="12" w:space="0" w:color="000000"/>
              <w:bottom w:val="single" w:sz="6" w:space="0" w:color="000000"/>
            </w:tcBorders>
            <w:vAlign w:val="bottom"/>
          </w:tcPr>
          <w:p>
            <w:pPr>
              <w:pStyle w:val="TableText"/>
            </w:pPr>
            <w:r>
              <w:rPr>
                <w:b/>
                <w:bCs/>
              </w:rPr>
              <w:t xml:space="preserve">Technique</w:t>
            </w:r>
          </w:p>
        </w:tc>
        <w:tc>
          <w:tcPr>
            <w:tcW w:w="3360" w:type="dxa"/>
            <w:tcBorders>
              <w:top w:val="single" w:sz="12" w:space="0" w:color="000000"/>
              <w:bottom w:val="single" w:sz="6" w:space="0" w:color="000000"/>
            </w:tcBorders>
            <w:vAlign w:val="bottom"/>
          </w:tcPr>
          <w:p>
            <w:pPr>
              <w:pStyle w:val="TableText"/>
            </w:pPr>
            <w:r>
              <w:rPr>
                <w:b/>
                <w:bCs/>
              </w:rPr>
              <w:t xml:space="preserve">Guarantee</w:t>
            </w:r>
          </w:p>
        </w:tc>
      </w:tr>
      <w:tr>
        <w:trPr>
          <w:cantSplit/>
        </w:trPr>
        <w:tc>
          <w:tcPr>
            <w:tcW w:w="1100" w:type="dxa"/>
            <w:tcBorders>
              <w:bottom w:val="single" w:sz="2" w:space="0" w:color="BFBFBF"/>
            </w:tcBorders>
            <w:vAlign w:val="top"/>
          </w:tcPr>
          <w:p>
            <w:pPr>
              <w:pStyle w:val="TableText"/>
            </w:pPr>
            <w:r>
              <w:t xml:space="preserve">A</w:t>
            </w:r>
          </w:p>
        </w:tc>
        <w:tc>
          <w:tcPr>
            <w:tcW w:w="3450" w:type="dxa"/>
            <w:tcBorders>
              <w:bottom w:val="single" w:sz="2" w:space="0" w:color="BFBFBF"/>
            </w:tcBorders>
            <w:vAlign w:val="top"/>
          </w:tcPr>
          <w:p>
            <w:pPr>
              <w:pStyle w:val="TableText"/>
            </w:pPr>
            <w:r>
              <w:t xml:space="preserve">BM_Verdict_Boundary_SameClass.pv and BM_Validator_PacketHash_Secrecy.pv</w:t>
            </w:r>
          </w:p>
        </w:tc>
        <w:tc>
          <w:tcPr>
            <w:tcW w:w="1450" w:type="dxa"/>
            <w:tcBorders>
              <w:bottom w:val="single" w:sz="2" w:space="0" w:color="BFBFBF"/>
            </w:tcBorders>
            <w:vAlign w:val="top"/>
          </w:tcPr>
          <w:p>
            <w:pPr>
              <w:pStyle w:val="TableText"/>
            </w:pPr>
            <w:r>
              <w:t xml:space="preserve">Observational equivalence</w:t>
            </w:r>
            <w:r>
              <w:t xml:space="preserve"> and secrecy query</w:t>
            </w:r>
          </w:p>
        </w:tc>
        <w:tc>
          <w:tcPr>
            <w:tcW w:w="3360" w:type="dxa"/>
            <w:tcBorders>
              <w:bottom w:val="single" w:sz="2" w:space="0" w:color="BFBFBF"/>
            </w:tcBorders>
            <w:vAlign w:val="top"/>
          </w:tcPr>
          <w:p>
            <w:pPr>
              <w:pStyle w:val="TableText"/>
            </w:pPr>
            <w:r>
              <w:t xml:space="preserve">Device Non-Correlation</w:t>
            </w:r>
          </w:p>
        </w:tc>
      </w:tr>
      <w:tr>
        <w:trPr>
          <w:cantSplit/>
        </w:trPr>
        <w:tc>
          <w:tcPr>
            <w:tcW w:w="1100" w:type="dxa"/>
            <w:tcBorders>
              <w:bottom w:val="single" w:sz="2" w:space="0" w:color="BFBFBF"/>
            </w:tcBorders>
            <w:vAlign w:val="top"/>
          </w:tcPr>
          <w:p>
            <w:pPr>
              <w:pStyle w:val="TableText"/>
            </w:pPr>
            <w:r>
              <w:t xml:space="preserve">B</w:t>
            </w:r>
          </w:p>
        </w:tc>
        <w:tc>
          <w:tcPr>
            <w:tcW w:w="3450" w:type="dxa"/>
            <w:tcBorders>
              <w:bottom w:val="single" w:sz="2" w:space="0" w:color="BFBFBF"/>
            </w:tcBorders>
            <w:vAlign w:val="top"/>
          </w:tcPr>
          <w:p>
            <w:pPr>
              <w:pStyle w:val="TableText"/>
            </w:pPr>
            <w:r>
              <w:t xml:space="preserve">BM_Baseline_Noncorrelation.pv</w:t>
            </w:r>
          </w:p>
        </w:tc>
        <w:tc>
          <w:tcPr>
            <w:tcW w:w="1450" w:type="dxa"/>
            <w:tcBorders>
              <w:bottom w:val="single" w:sz="2" w:space="0" w:color="BFBFBF"/>
            </w:tcBorders>
            <w:vAlign w:val="top"/>
          </w:tcPr>
          <w:p>
            <w:pPr>
              <w:pStyle w:val="TableText"/>
            </w:pPr>
            <w:r>
              <w:t xml:space="preserve">Observational equivalence</w:t>
            </w:r>
          </w:p>
        </w:tc>
        <w:tc>
          <w:tcPr>
            <w:tcW w:w="3360" w:type="dxa"/>
            <w:tcBorders>
              <w:bottom w:val="single" w:sz="2" w:space="0" w:color="BFBFBF"/>
            </w:tcBorders>
            <w:vAlign w:val="top"/>
          </w:tcPr>
          <w:p>
            <w:pPr>
              <w:pStyle w:val="TableText"/>
            </w:pPr>
            <w:r>
              <w:t xml:space="preserve">Registry Observer Non-Identification</w:t>
            </w:r>
          </w:p>
        </w:tc>
      </w:tr>
      <w:tr>
        <w:trPr>
          <w:cantSplit/>
        </w:trPr>
        <w:tc>
          <w:tcPr>
            <w:tcW w:w="1100" w:type="dxa"/>
            <w:tcBorders>
              <w:bottom w:val="single" w:sz="2" w:space="0" w:color="BFBFBF"/>
            </w:tcBorders>
            <w:vAlign w:val="top"/>
          </w:tcPr>
          <w:p>
            <w:pPr>
              <w:pStyle w:val="TableText"/>
            </w:pPr>
            <w:r>
              <w:t xml:space="preserve">C</w:t>
            </w:r>
          </w:p>
        </w:tc>
        <w:tc>
          <w:tcPr>
            <w:tcW w:w="3450" w:type="dxa"/>
            <w:tcBorders>
              <w:bottom w:val="single" w:sz="2" w:space="0" w:color="BFBFBF"/>
            </w:tcBorders>
            <w:vAlign w:val="top"/>
          </w:tcPr>
          <w:p>
            <w:pPr>
              <w:pStyle w:val="TableText"/>
            </w:pPr>
            <w:r>
              <w:t xml:space="preserve">BM_ContentServer_Compromise.pv</w:t>
            </w:r>
          </w:p>
        </w:tc>
        <w:tc>
          <w:tcPr>
            <w:tcW w:w="1450" w:type="dxa"/>
            <w:tcBorders>
              <w:bottom w:val="single" w:sz="2" w:space="0" w:color="BFBFBF"/>
            </w:tcBorders>
            <w:vAlign w:val="top"/>
          </w:tcPr>
          <w:p>
            <w:pPr>
              <w:pStyle w:val="TableText"/>
            </w:pPr>
            <w:r>
              <w:t xml:space="preserve">Observational equivalence</w:t>
            </w:r>
          </w:p>
        </w:tc>
        <w:tc>
          <w:tcPr>
            <w:tcW w:w="3360" w:type="dxa"/>
            <w:tcBorders>
              <w:bottom w:val="single" w:sz="2" w:space="0" w:color="BFBFBF"/>
            </w:tcBorders>
            <w:vAlign w:val="top"/>
          </w:tcPr>
          <w:p>
            <w:pPr>
              <w:pStyle w:val="TableText"/>
            </w:pPr>
            <w:r>
              <w:t xml:space="preserve">Submission Server Blindness</w:t>
            </w:r>
          </w:p>
        </w:tc>
      </w:tr>
      <w:tr>
        <w:trPr>
          <w:cantSplit/>
        </w:trPr>
        <w:tc>
          <w:tcPr>
            <w:tcW w:w="1100" w:type="dxa"/>
            <w:tcBorders>
              <w:bottom w:val="single" w:sz="2" w:space="0" w:color="BFBFBF"/>
            </w:tcBorders>
            <w:vAlign w:val="top"/>
          </w:tcPr>
          <w:p>
            <w:pPr>
              <w:pStyle w:val="TableText"/>
            </w:pPr>
            <w:r>
              <w:t xml:space="preserve">D</w:t>
            </w:r>
          </w:p>
        </w:tc>
        <w:tc>
          <w:tcPr>
            <w:tcW w:w="3450" w:type="dxa"/>
            <w:tcBorders>
              <w:bottom w:val="single" w:sz="2" w:space="0" w:color="BFBFBF"/>
            </w:tcBorders>
            <w:vAlign w:val="top"/>
          </w:tcPr>
          <w:p>
            <w:pPr>
              <w:pStyle w:val="TableText"/>
            </w:pPr>
            <w:r>
              <w:t xml:space="preserve">BM_CredentialProcessor_Compromise.pv</w:t>
            </w:r>
          </w:p>
        </w:tc>
        <w:tc>
          <w:tcPr>
            <w:tcW w:w="1450" w:type="dxa"/>
            <w:tcBorders>
              <w:bottom w:val="single" w:sz="2" w:space="0" w:color="BFBFBF"/>
            </w:tcBorders>
            <w:vAlign w:val="top"/>
          </w:tcPr>
          <w:p>
            <w:pPr>
              <w:pStyle w:val="TableText"/>
            </w:pPr>
            <w:r>
              <w:t xml:space="preserve">Observational equivalence (confirmed)</w:t>
            </w:r>
          </w:p>
        </w:tc>
        <w:tc>
          <w:tcPr>
            <w:tcW w:w="3360" w:type="dxa"/>
            <w:tcBorders>
              <w:bottom w:val="single" w:sz="2" w:space="0" w:color="BFBFBF"/>
            </w:tcBorders>
            <w:vAlign w:val="top"/>
          </w:tcPr>
          <w:p>
            <w:pPr>
              <w:pStyle w:val="TableText"/>
            </w:pPr>
            <w:r>
              <w:t xml:space="preserve">Credential-processor-compromise resistance: the device token stays unreachable without the validator’s key</w:t>
            </w:r>
          </w:p>
        </w:tc>
      </w:tr>
      <w:tr>
        <w:trPr>
          <w:cantSplit/>
        </w:trPr>
        <w:tc>
          <w:tcPr>
            <w:tcW w:w="1100" w:type="dxa"/>
            <w:tcBorders>
              <w:bottom w:val="single" w:sz="2" w:space="0" w:color="BFBFBF"/>
            </w:tcBorders>
            <w:vAlign w:val="top"/>
          </w:tcPr>
          <w:p>
            <w:pPr>
              <w:pStyle w:val="TableText"/>
            </w:pPr>
            <w:r>
              <w:t xml:space="preserve">E</w:t>
            </w:r>
          </w:p>
        </w:tc>
        <w:tc>
          <w:tcPr>
            <w:tcW w:w="3450" w:type="dxa"/>
            <w:tcBorders>
              <w:bottom w:val="single" w:sz="2" w:space="0" w:color="BFBFBF"/>
            </w:tcBorders>
            <w:vAlign w:val="top"/>
          </w:tcPr>
          <w:p>
            <w:pPr>
              <w:pStyle w:val="TableText"/>
            </w:pPr>
            <w:r>
              <w:t xml:space="preserve">BM_Verdict_Boundary_SameClass.pv and BM_Validator_PacketHash_Secrecy.pv</w:t>
            </w:r>
          </w:p>
        </w:tc>
        <w:tc>
          <w:tcPr>
            <w:tcW w:w="1450" w:type="dxa"/>
            <w:tcBorders>
              <w:bottom w:val="single" w:sz="2" w:space="0" w:color="BFBFBF"/>
            </w:tcBorders>
            <w:vAlign w:val="top"/>
          </w:tcPr>
          <w:p>
            <w:pPr>
              <w:pStyle w:val="TableText"/>
            </w:pPr>
            <w:r>
              <w:t xml:space="preserve">Observational equivalence </w:t>
            </w:r>
            <w:r>
              <w:t xml:space="preserve">and secrecy query (confirmed)</w:t>
            </w:r>
          </w:p>
        </w:tc>
        <w:tc>
          <w:tcPr>
            <w:tcW w:w="3360" w:type="dxa"/>
            <w:tcBorders>
              <w:bottom w:val="single" w:sz="2" w:space="0" w:color="BFBFBF"/>
            </w:tcBorders>
            <w:vAlign w:val="top"/>
          </w:tcPr>
          <w:p>
            <w:pPr>
              <w:pStyle w:val="TableText"/>
            </w:pPr>
            <w:r>
              <w:t xml:space="preserve">Validator-compromise resistance: </w:t>
            </w:r>
            <w:r>
              <w:t xml:space="preserve">PacketHash stays unreachable without C’s BlindShare_key, including when the device identities are public, for submissions that share a verdict</w:t>
            </w:r>
          </w:p>
        </w:tc>
      </w:tr>
      <w:tr>
        <w:trPr>
          <w:cantSplit/>
        </w:trPr>
        <w:tc>
          <w:tcPr>
            <w:tcW w:w="1100" w:type="dxa"/>
            <w:tcBorders>
              <w:bottom w:val="single" w:sz="2" w:space="0" w:color="BFBFBF"/>
            </w:tcBorders>
            <w:vAlign w:val="top"/>
          </w:tcPr>
          <w:p>
            <w:pPr>
              <w:pStyle w:val="TableText"/>
            </w:pPr>
            <w:r>
              <w:t xml:space="preserve">F</w:t>
            </w:r>
          </w:p>
        </w:tc>
        <w:tc>
          <w:tcPr>
            <w:tcW w:w="3450" w:type="dxa"/>
            <w:tcBorders>
              <w:bottom w:val="single" w:sz="2" w:space="0" w:color="BFBFBF"/>
            </w:tcBorders>
            <w:vAlign w:val="top"/>
          </w:tcPr>
          <w:p>
            <w:pPr>
              <w:pStyle w:val="TableText"/>
            </w:pPr>
            <w:r>
              <w:t xml:space="preserve">BM_ContentServer_Compromise.pv</w:t>
            </w:r>
          </w:p>
        </w:tc>
        <w:tc>
          <w:tcPr>
            <w:tcW w:w="1450" w:type="dxa"/>
            <w:tcBorders>
              <w:bottom w:val="single" w:sz="2" w:space="0" w:color="BFBFBF"/>
            </w:tcBorders>
            <w:vAlign w:val="top"/>
          </w:tcPr>
          <w:p>
            <w:pPr>
              <w:pStyle w:val="TableText"/>
            </w:pPr>
            <w:r>
              <w:t xml:space="preserve">Observational equivalence (confirmed)</w:t>
            </w:r>
          </w:p>
        </w:tc>
        <w:tc>
          <w:tcPr>
            <w:tcW w:w="3360" w:type="dxa"/>
            <w:tcBorders>
              <w:bottom w:val="single" w:sz="2" w:space="0" w:color="BFBFBF"/>
            </w:tcBorders>
            <w:vAlign w:val="top"/>
          </w:tcPr>
          <w:p>
            <w:pPr>
              <w:pStyle w:val="TableText"/>
            </w:pPr>
            <w:r>
              <w:t xml:space="preserve">Content-server-compromise resistance: the credential channel, including the device token, never reaches a content-channel server at all</w:t>
            </w:r>
          </w:p>
        </w:tc>
      </w:tr>
      <w:tr>
        <w:trPr>
          <w:cantSplit/>
        </w:trPr>
        <w:tc>
          <w:tcPr>
            <w:tcW w:w="1100" w:type="dxa"/>
            <w:tcBorders>
              <w:bottom w:val="single" w:sz="2" w:space="0" w:color="BFBFBF"/>
            </w:tcBorders>
            <w:vAlign w:val="top"/>
          </w:tcPr>
          <w:p>
            <w:pPr>
              <w:pStyle w:val="TableText"/>
            </w:pPr>
            <w:r>
              <w:t xml:space="preserve">G</w:t>
            </w:r>
          </w:p>
        </w:tc>
        <w:tc>
          <w:tcPr>
            <w:tcW w:w="3450" w:type="dxa"/>
            <w:tcBorders>
              <w:bottom w:val="single" w:sz="2" w:space="0" w:color="BFBFBF"/>
            </w:tcBorders>
            <w:vAlign w:val="top"/>
          </w:tcPr>
          <w:p>
            <w:pPr>
              <w:pStyle w:val="TableText"/>
            </w:pPr>
            <w:r>
              <w:t xml:space="preserve">BM_Quorum_Forgery.pv and BM_Quorum_Collusion.pv</w:t>
            </w:r>
          </w:p>
        </w:tc>
        <w:tc>
          <w:tcPr>
            <w:tcW w:w="1450" w:type="dxa"/>
            <w:tcBorders>
              <w:bottom w:val="single" w:sz="2" w:space="0" w:color="BFBFBF"/>
            </w:tcBorders>
            <w:vAlign w:val="top"/>
          </w:tcPr>
          <w:p>
            <w:pPr>
              <w:pStyle w:val="TableText"/>
            </w:pPr>
            <w:r>
              <w:t xml:space="preserve">Correspondence query, confirmed</w:t>
            </w:r>
          </w:p>
        </w:tc>
        <w:tc>
          <w:tcPr>
            <w:tcW w:w="3360" w:type="dxa"/>
            <w:tcBorders>
              <w:bottom w:val="single" w:sz="2" w:space="0" w:color="BFBFBF"/>
            </w:tcBorders>
            <w:vAlign w:val="top"/>
          </w:tcPr>
          <w:p>
            <w:pPr>
              <w:pStyle w:val="TableText"/>
            </w:pPr>
            <w:r>
              <w:t xml:space="preserve">Posting Forgery Resistance: </w:t>
            </w:r>
            <w:r>
              <w:t xml:space="preserve">C accepts only a verdict the validator issued for the PacketHash C sent, so no other party can produce a verdict that a quorum carries</w:t>
            </w:r>
          </w:p>
        </w:tc>
      </w:tr>
      <w:tr>
        <w:trPr>
          <w:cantSplit/>
        </w:trPr>
        <w:tc>
          <w:tcPr>
            <w:tcW w:w="1100" w:type="dxa"/>
            <w:tcBorders>
              <w:bottom w:val="single" w:sz="2" w:space="0" w:color="BFBFBF"/>
            </w:tcBorders>
            <w:vAlign w:val="top"/>
          </w:tcPr>
          <w:p>
            <w:pPr>
              <w:pStyle w:val="TableText"/>
            </w:pPr>
            <w:r>
              <w:t xml:space="preserve">H</w:t>
            </w:r>
          </w:p>
        </w:tc>
        <w:tc>
          <w:tcPr>
            <w:tcW w:w="3450" w:type="dxa"/>
            <w:tcBorders>
              <w:bottom w:val="single" w:sz="2" w:space="0" w:color="BFBFBF"/>
            </w:tcBorders>
            <w:vAlign w:val="top"/>
          </w:tcPr>
          <w:p>
            <w:pPr>
              <w:pStyle w:val="TableText"/>
            </w:pPr>
            <w:r>
              <w:t xml:space="preserve">BM_Registry_Convergence.pv</w:t>
            </w:r>
          </w:p>
        </w:tc>
        <w:tc>
          <w:tcPr>
            <w:tcW w:w="1450" w:type="dxa"/>
            <w:tcBorders>
              <w:bottom w:val="single" w:sz="2" w:space="0" w:color="BFBFBF"/>
            </w:tcBorders>
            <w:vAlign w:val="top"/>
          </w:tcPr>
          <w:p>
            <w:pPr>
              <w:pStyle w:val="TableText"/>
            </w:pPr>
            <w:r>
              <w:t xml:space="preserve">Correspondence query, confirmed</w:t>
            </w:r>
          </w:p>
        </w:tc>
        <w:tc>
          <w:tcPr>
            <w:tcW w:w="3360" w:type="dxa"/>
            <w:tcBorders>
              <w:bottom w:val="single" w:sz="2" w:space="0" w:color="BFBFBF"/>
            </w:tcBorders>
            <w:vAlign w:val="top"/>
          </w:tcPr>
          <w:p>
            <w:pPr>
              <w:pStyle w:val="TableText"/>
            </w:pPr>
            <w:r>
              <w:t xml:space="preserve">Registry Write Integrity: </w:t>
            </w:r>
            <w:r>
              <w:t xml:space="preserve">one compromised content-channel server cannot make the registry finalize a record the other did not sign, and cannot change the optional fields of a record</w:t>
            </w:r>
          </w:p>
        </w:tc>
      </w:tr>
      <w:tr>
        <w:trPr>
          <w:cantSplit/>
        </w:trPr>
        <w:tc>
          <w:tcPr>
            <w:tcW w:w="1100" w:type="dxa"/>
            <w:tcBorders>
              <w:bottom w:val="single" w:sz="2" w:space="0" w:color="BFBFBF"/>
            </w:tcBorders>
            <w:vAlign w:val="top"/>
          </w:tcPr>
          <w:p>
            <w:pPr>
              <w:pStyle w:val="TableText"/>
            </w:pPr>
            <w:r>
              <w:t xml:space="preserve">I</w:t>
            </w:r>
          </w:p>
        </w:tc>
        <w:tc>
          <w:tcPr>
            <w:tcW w:w="3450" w:type="dxa"/>
            <w:tcBorders>
              <w:bottom w:val="single" w:sz="2" w:space="0" w:color="BFBFBF"/>
            </w:tcBorders>
            <w:vAlign w:val="top"/>
          </w:tcPr>
          <w:p>
            <w:pPr>
              <w:pStyle w:val="TableText"/>
            </w:pPr>
            <w:r>
              <w:t xml:space="preserve">BM_Quorum_Forgery.pv</w:t>
            </w:r>
            <w:r>
              <w:t xml:space="preserve"> and BM_Quorum_Collusion.pv</w:t>
            </w:r>
          </w:p>
        </w:tc>
        <w:tc>
          <w:tcPr>
            <w:tcW w:w="1450" w:type="dxa"/>
            <w:tcBorders>
              <w:bottom w:val="single" w:sz="2" w:space="0" w:color="BFBFBF"/>
            </w:tcBorders>
            <w:vAlign w:val="top"/>
          </w:tcPr>
          <w:p>
            <w:pPr>
              <w:pStyle w:val="TableText"/>
            </w:pPr>
            <w:r>
              <w:t xml:space="preserve">Correspondence query, confirmed</w:t>
            </w:r>
          </w:p>
        </w:tc>
        <w:tc>
          <w:tcPr>
            <w:tcW w:w="3360" w:type="dxa"/>
            <w:tcBorders>
              <w:bottom w:val="single" w:sz="2" w:space="0" w:color="BFBFBF"/>
            </w:tcBorders>
            <w:vAlign w:val="top"/>
          </w:tcPr>
          <w:p>
            <w:pPr>
              <w:pStyle w:val="TableText"/>
            </w:pPr>
            <w:r>
              <w:t xml:space="preserve">Quorum Forgery Resistance: one, or even two of three, compromised gatekeepers cannot force a two-of-three match-board quorum </w:t>
            </w:r>
            <w:r>
              <w:t xml:space="preserve">without a preceding genuine validator verdict on the same PacketHash</w:t>
            </w:r>
          </w:p>
        </w:tc>
      </w:tr>
      <w:tr>
        <w:trPr>
          <w:cantSplit/>
        </w:trPr>
        <w:tc>
          <w:tcPr>
            <w:tcW w:w="1100" w:type="dxa"/>
            <w:tcBorders>
              <w:bottom w:val="single" w:sz="12" w:space="0" w:color="000000"/>
            </w:tcBorders>
            <w:vAlign w:val="top"/>
          </w:tcPr>
          <w:p>
            <w:pPr>
              <w:pStyle w:val="TableText"/>
            </w:pPr>
            <w:r>
              <w:t xml:space="preserve">J</w:t>
            </w:r>
          </w:p>
        </w:tc>
        <w:tc>
          <w:tcPr>
            <w:tcW w:w="3450" w:type="dxa"/>
            <w:tcBorders>
              <w:bottom w:val="single" w:sz="12" w:space="0" w:color="000000"/>
            </w:tcBorders>
            <w:vAlign w:val="top"/>
          </w:tcPr>
          <w:p>
            <w:pPr>
              <w:pStyle w:val="TableText"/>
            </w:pPr>
            <w:r>
              <w:t xml:space="preserve">BM_Gatekeeper_Compromise.pv</w:t>
            </w:r>
          </w:p>
        </w:tc>
        <w:tc>
          <w:tcPr>
            <w:tcW w:w="1450" w:type="dxa"/>
            <w:tcBorders>
              <w:bottom w:val="single" w:sz="12" w:space="0" w:color="000000"/>
            </w:tcBorders>
            <w:vAlign w:val="top"/>
          </w:tcPr>
          <w:p>
            <w:pPr>
              <w:pStyle w:val="TableText"/>
            </w:pPr>
            <w:r>
              <w:t xml:space="preserve">Observational equivalence (confirmed)</w:t>
            </w:r>
          </w:p>
        </w:tc>
        <w:tc>
          <w:tcPr>
            <w:tcW w:w="3360" w:type="dxa"/>
            <w:tcBorders>
              <w:bottom w:val="single" w:sz="12" w:space="0" w:color="000000"/>
            </w:tcBorders>
            <w:vAlign w:val="top"/>
          </w:tcPr>
          <w:p>
            <w:pPr>
              <w:pStyle w:val="TableText"/>
            </w:pPr>
            <w:r>
              <w:t xml:space="preserve">Gatekeeper-compromise resistance: PacketHash, the validator’s signature, BlindShare_key, and C’s ring signature, all held in the clear by one compromised gatekeeper, together yield no device identity</w:t>
            </w:r>
          </w:p>
        </w:tc>
      </w:tr>
    </w:tbl>
    <w:p>
      <w:pPr>
        <w:pStyle w:val="Heading2"/>
      </w:pPr>
      <w:r>
        <w:rPr>
          <w:b/>
          <w:bCs/>
        </w:rPr>
        <w:t xml:space="preserve">A.2 </w:t>
      </w:r>
      <w:r>
        <w:rPr>
          <w:b/>
          <w:bCs/>
        </w:rPr>
        <w:t xml:space="preserve">Property B: Baseline Non-Correlation</w:t>
      </w:r>
      <w:r>
        <w:rPr>
          <w:b/>
          <w:bCs/>
        </w:rPr>
        <w:t xml:space="preserve"> (Executable Proof)</w:t>
      </w:r>
    </w:p>
    <w:p>
      <w:pPr>
        <w:pStyle w:val="BodyText"/>
      </w:pPr>
      <w:r>
        <w:t xml:space="preserve">We model the full architecture with no component compromised: two devices, each with a swapped identity (device(choice[T1,T2], imgX, claimX) | device(choice[T2,T1], imgY, claimY)), submitting through the credential processor (C), the validator, all three gatekeepers, the two-of-three quorum, and both content-channel submission servers (F, I) to the registry. The identities T1 and T2 and the contents imgX and imgY are public names, so the observer can name a candidate.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 It must fail, or the model cannot see a credential leak.</w:t>
      </w:r>
    </w:p>
    <w:p>
      <w:pPr>
        <w:pStyle w:val="BodyText"/>
      </w:pPr>
      <w:r>
        <w:t xml:space="preserve">Encryption throughout has to be modeled as probabilistic, not deterministic, or the model would not reflect what it claims to establish. A deterministic encryption function would let the adversary encrypt a candidate PacketHash themselves and check it against a ciphertext on the wire, exactly the attack this construction is meant to prevent, just moved one level down. aenc is accordingly given a third argument for fresh randomness, generated independently for each encryption, the standard way ProVerif models IND-CPA-style public-key encryption.</w:t>
      </w:r>
    </w:p>
    <w:p>
      <w:pPr>
        <w:pStyle w:val="BodyText"/>
      </w:pPr>
      <w:r>
        <w:t xml:space="preserve">The proof obligation is a single equivalence: the two scenarios, one in which the first device </w:t>
      </w:r>
      <w:r>
        <w:t xml:space="preserve">authenticates imgX under T1</w:t>
      </w:r>
      <w:r>
        <w:t xml:space="preserve">, and one in which it </w:t>
      </w:r>
      <w:r>
        <w:t xml:space="preserve">authenticates imgX under T2</w:t>
      </w:r>
      <w:r>
        <w:t xml:space="preserve">, must be indistinguishable to any outside observer, with everything else in the model, both contents, both tokens, the gatekeepers, the quorum, the registry, </w:t>
      </w:r>
      <w:r>
        <w:t xml:space="preserve">running identically in both worlds except for which device holds which token.</w:t>
      </w:r>
    </w:p>
    <w:p>
      <w:pPr>
        <w:pStyle w:val="BodyText"/>
      </w:pPr>
      <w:r>
        <w:t xml:space="preserve">ProVerif output: RESULT Observational equivalence is true.</w:t>
      </w:r>
    </w:p>
    <w:p>
      <w:pPr>
        <w:pStyle w:val="BodyText"/>
      </w:pPr>
      <w:r>
        <w:t xml:space="preserve">The model returns equivalence, confirming Property B. The twin returns “Observational equivalence cannot be proved”, as intended.</w:t>
      </w:r>
    </w:p>
    <w:p>
      <w:pPr>
        <w:pStyle w:val="Heading2"/>
      </w:pPr>
      <w:r>
        <w:rPr>
          <w:b/>
          <w:bCs/>
        </w:rPr>
        <w:t xml:space="preserve">A.3 Single-Component Compromise Resistance: </w:t>
      </w:r>
      <w:r>
        <w:rPr>
          <w:b/>
          <w:bCs/>
        </w:rPr>
        <w:t xml:space="preserve">Properties A, C, D, E, F, and J</w:t>
      </w:r>
    </w:p>
    <w:p>
      <w:pPr>
        <w:pStyle w:val="BodyText"/>
      </w:pPr>
      <w:r>
        <w:t xml:space="preserve">Five models test whether the compromise of one component (C, the credential validator, a content-channel server, or a gatekeeper) is sufficient for correlation: one each for C, the content-channel server and the gatekeeper, and two for the validator. Each leaks that component’s keys while the other keys stay private. The models for C, the content-channel server and the gatekeeper swap the device identity, as in Appendix A.2. The identities T1 and T2 and the contents are public names, so the adversary can name a candidate.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PacketHash (Property E). Each of the five models has a twin, and each twin fails.</w:t>
      </w:r>
    </w:p>
    <w:p>
      <w:pPr>
        <w:pStyle w:val="BodyText"/>
      </w:pPr>
      <w:r>
        <w:rPr>
          <w:b/>
          <w:bCs/>
        </w:rPr>
        <w:t xml:space="preserve">Property D (credential processor). </w:t>
      </w:r>
      <w:r>
        <w:t xml:space="preserve">c_device_sk and c_sign_sk, all of C’s keys, are leaked; every other key stays private.</w:t>
      </w:r>
      <w:r>
        <w:t xml:space="preserve"> C holds PacketHash in the clear but never the device token in readable form, since it never holds v_token_sk. </w:t>
      </w:r>
      <w:r>
        <w:t xml:space="preserve">The validator stays honest and answers any request, since C can submit any token and wrapped value and read the reply; the gatekeepers and content servers are not modeled, because the adversary plays C’s role towards them.</w:t>
      </w:r>
    </w:p>
    <w:p>
      <w:pPr>
        <w:pStyle w:val="BodyText"/>
      </w:pPr>
      <w:r>
        <w:t xml:space="preserve">ProVerif output: RESULT Observational equivalence is true.</w:t>
      </w:r>
    </w:p>
    <w:p>
      <w:pPr>
        <w:pStyle w:val="BodyText"/>
      </w:pPr>
      <w:r>
        <w:rPr>
          <w:b/>
          <w:bCs/>
        </w:rPr>
        <w:t xml:space="preserve">Properties A and E (credential validator).</w:t>
      </w:r>
      <w:r>
        <w:rPr>
          <w:b/>
          <w:bCs/>
        </w:rPr>
        <w:t xml:space="preserve"> </w:t>
      </w:r>
      <w:r>
        <w:t xml:space="preserve">v_token_sk and v_sign_sk are both leaked together, representing full compromise of the validator rather than one isolated key; c_device_sk stays private. PacketHash reaches the validator only wrapped under BlindShare_key, a value C generates fresh per transaction and never shares, so decrypting the now-readable token gives the validator a device identity with nothing to check it against, </w:t>
      </w:r>
      <w:r>
        <w:t xml:space="preserve">and forging its own verdict signature over an arbitrary wrapped value does not help, since that value still opens only with BlindShare_key. Two models test this. BM_Validator_PacketHash_Secrecy.pv asks whether the attacker, playing the validator, can ever derive a PacketHash; it cannot. Its twin sends the PacketHash to the validator without the wrap, and the query fails.</w:t>
      </w:r>
    </w:p>
    <w:p>
      <w:pPr>
        <w:pStyle w:val="BodyText"/>
      </w:pPr>
      <w:r>
        <w:t xml:space="preserve">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BM_Verdict_Boundary_Control.pv,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r>
        <w:t xml:space="preserve"> Decoy submissions are ordinary submissions with arbitrary content. Their claims follow the real mix of claims, so a rare verdict is shared with decoy records as well as real ones.</w:t>
      </w:r>
    </w:p>
    <w:p>
      <w:pPr>
        <w:pStyle w:val="BodyText"/>
      </w:pPr>
      <w:r>
        <w:t xml:space="preserve">ProVerif output: </w:t>
      </w:r>
      <w:r>
        <w:t xml:space="preserve">BM_Verdict_Boundary_SameClass.pv returns RESULT Observational equivalence is true. BM_Validator_PacketHash_Secrecy.pv returns RESULT not attacker(ph_m[]) is true.</w:t>
      </w:r>
    </w:p>
    <w:p>
      <w:pPr>
        <w:pStyle w:val="BodyText"/>
      </w:pPr>
      <w:r>
        <w:t xml:space="preserve">Properties C and F (content-channel server). f_device_sk is leaked; every other key stays private.</w:t>
      </w:r>
      <w:r>
        <w:t xml:space="preserve"> </w:t>
      </w:r>
      <w:r>
        <w:t xml:space="preserve">The credential channel, including the device token, never reaches a content-channel server at all. The full honest pipeline runs behind the compromised server. The adversary sees the public channel, all three boards and the registry, and plays the server’s own role.</w:t>
      </w:r>
    </w:p>
    <w:p>
      <w:pPr>
        <w:pStyle w:val="BodyText"/>
      </w:pPr>
      <w:r>
        <w:t xml:space="preserve">ProVerif output: RESULT Observational equivalence is true.</w:t>
      </w:r>
    </w:p>
    <w:p>
      <w:pPr>
        <w:pStyle w:val="BodyText"/>
      </w:pPr>
      <w:r>
        <w:rPr>
          <w:b/>
          <w:bCs/>
        </w:rPr>
        <w:t xml:space="preserve">Property J (gatekeeper). </w:t>
      </w:r>
      <w:r>
        <w:t xml:space="preserve">g1_sk and g1_sign_sk are both leaked, giving the adversary a gatekeeper’s own relay-terminus and countersignature keys together; v_token_sk, v_sign_sk, and c_device_sk all stay private. A compromised gatekeeper holds PacketHash, the validator’s signature, BlindShare_key, and C’s ring signature in the clear, exactly as it would legitimately, but the device token never reaches it at all, since the credential channel terminates at C, not at any gatekeeper. </w:t>
      </w:r>
      <w:r>
        <w:t xml:space="preserve">C’s signature is modeled as an ordinary signature rather than the ring construction (Appendix A.5).</w:t>
      </w:r>
      <w:r>
        <w:t xml:space="preserve"> The full honest pipeline runs behind it. The boards and the registry are public, and the adversary plays the first gatekeeper’s role.</w:t>
      </w:r>
    </w:p>
    <w:p>
      <w:pPr>
        <w:pStyle w:val="BodyText"/>
      </w:pPr>
      <w:r>
        <w:t xml:space="preserve">ProVerif output: RESULT Observational equivalence is true.</w:t>
      </w:r>
    </w:p>
    <w:p>
      <w:pPr>
        <w:pStyle w:val="BodyText"/>
      </w:pPr>
      <w:r>
        <w:t xml:space="preserve">All hold, and every twin fails. Leaking any one component’s keys, with the others withheld, gives a Dolev-Yao adversary no way to tell which device holds which token. For the validator, the component that sees the credential, it also gives no way to tell which content a device authenticated, within one verdict class. Each model can detect the fault its twin carries.</w:t>
      </w:r>
    </w:p>
    <w:p>
      <w:pPr>
        <w:pStyle w:val="Heading2"/>
      </w:pPr>
      <w:r>
        <w:rPr>
          <w:b/>
          <w:bCs/>
        </w:rPr>
        <w:t xml:space="preserve">A.4 Posting and Registry Integrity: Properties G, H, and I</w:t>
      </w:r>
    </w:p>
    <w:p>
      <w:pPr>
        <w:pStyle w:val="BodyText"/>
      </w:pPr>
      <w:r>
        <w:t xml:space="preserve">Three further properties confirm that posting integrity, not privacy, resists single-party forgery. They support G1 (Section 4.2), not G2. All three are correspondence queries: each states that one event happens only if an earlier event did. A secrecy query on a signing key is true whenever the model never sends the key, whether or not the protocol is sound, so it would not test these properties. Properties G and I are checked on the same two Quorum models. Each model also asks whether a quorum is reachable, so that no result holds only because nothing happens.</w:t>
      </w:r>
    </w:p>
    <w:p>
      <w:pPr>
        <w:pStyle w:val="BodyText"/>
      </w:pPr>
      <w:r>
        <w:t xml:space="preserve">Property G (verdict integrity). Section 3.3 requires C to accept a verdict only with the validator’s signature over that verdict and the wrapped value C itself sent, and requires each gatekeeper to check C’s signature in turn. The query asks whether C ever accepts a verdict that the validator did not issue, or one issued for a wrapped value C did not send: event(c_checked_w(p,v,w)) ==&gt; event(v_issued(v,w)) &amp;&amp; event(c_asked(p,w)). The attacker chooses the claim, so every verdict is reachable.</w:t>
      </w:r>
    </w:p>
    <w:p>
      <w:pPr>
        <w:pStyle w:val="BodyText"/>
      </w:pPr>
      <w:r>
        <w:t xml:space="preserve">ProVerif output: </w:t>
      </w:r>
      <w:r>
        <w:t xml:space="preserve">Query event(c_checked_w(p,v,w)) ==&gt; event(v_issued(v,w)) &amp;&amp; event(c_asked(p,w)) is true, in both Quorum models.</w:t>
      </w:r>
    </w:p>
    <w:p>
      <w:pPr>
        <w:pStyle w:val="BodyText"/>
      </w:pPr>
      <w:r>
        <w:rPr>
          <w:b/>
          <w:bCs/>
        </w:rPr>
        <w:t xml:space="preserve">Property H (registry write). </w:t>
      </w:r>
      <w:r>
        <w:t xml:space="preserve">Section 3.3 requires two independently-submitted entries, signed by two distinct content-channel server identities, agreeing on the same ContentHash before the registry finalizes a record: each server signs with a registry-signing key held only for this purpose, separate from the relay-terminus key that decrypted its own content channel (f_id_sk for one, i_id_sk for the other). </w:t>
      </w:r>
      <w:r>
        <w:t xml:space="preserve">F is fully compromised: f_device_sk, f_id_sk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p>
    <w:p>
      <w:pPr>
        <w:pStyle w:val="BodyText"/>
      </w:pPr>
      <w:r>
        <w:t xml:space="preserve">ProVerif output: </w:t>
      </w:r>
      <w:r>
        <w:t xml:space="preserve">All three queries are true. In the twin the registry accepts two signatures from the same signer, and the first query fails.</w:t>
      </w:r>
    </w:p>
    <w:p>
      <w:pPr>
        <w:pStyle w:val="BodyText"/>
      </w:pPr>
      <w:r>
        <w:rPr>
          <w:b/>
          <w:bCs/>
        </w:rPr>
        <w:t xml:space="preserve">Property I (quorum forgery resistance). </w:t>
      </w:r>
      <w:r>
        <w:t xml:space="preserve">Section 3.3 requires </w:t>
      </w:r>
      <w:r>
        <w:t xml:space="preserve">a candidate PacketHash and verdict to appear on at least two of three independent match boards</w:t>
      </w:r>
      <w:r>
        <w:t xml:space="preserve">, each backed by both the credential processor’s (C) signature and that board’s own gatekeeper countersignature, before a content-channel server proceeds. Two models test this against increasingly strong compromise. The first asks whether one compromised gatekeeper, with its board fully attacker-controlled (both its terminus key and its own signing key), can force this two-of-three quorum </w:t>
      </w:r>
      <w:r>
        <w:t xml:space="preserve">for a PacketHash and verdict the validator never issued</w:t>
      </w:r>
      <w: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r>
        <w:t xml:space="preserve">and C’s signature over the same PacketHash and verdict.</w:t>
      </w:r>
      <w:r>
        <w:t xml:space="preserve"> </w:t>
      </w:r>
      <w:r>
        <w:t xml:space="preserve">The device’s claim is attacker-chosen, so the queries cover every verdict. The first asks whether reaching quorum ever happens without C having checked that same PacketHash and verdict: event(quorum_reached(p,v)) ==&gt; event(c_checked(p,v)). Together with Property G, a quorum then implies a verdict the validator issued. The second asks whether a quorum is reachable at all, so that the first is not true merely because nothing happens.</w:t>
      </w:r>
    </w:p>
    <w:p>
      <w:pPr>
        <w:pStyle w:val="BodyText"/>
      </w:pPr>
      <w:r>
        <w:t xml:space="preserve">ProVerif output: Query </w:t>
      </w:r>
      <w:r>
        <w:t xml:space="preserve">event(quorum_reached(p,v)) ==&gt; event(c_checked(p,v)) is true, and a quorum is reachable. The twin, in which the honest gatekeepers and the quorum verify no signatures, fails the first query.</w:t>
      </w:r>
    </w:p>
    <w:p>
      <w:pPr>
        <w:pStyle w:val="BodyText"/>
      </w:pPr>
      <w:r>
        <w:t xml:space="preserve">ProVerif output: Query </w:t>
      </w:r>
      <w:r>
        <w:t xml:space="preserve">event(quorum_reached(p,v)) ==&gt; event(c_checked(p,v)) is true, and a quorum is reachable. The twin, in which the quorum of the two compromised boards does not verify C’s signature, fails the first query.</w:t>
      </w:r>
    </w:p>
    <w:p>
      <w:pPr>
        <w:pStyle w:val="BodyText"/>
      </w:pPr>
      <w:r>
        <w:t xml:space="preserve">Every process is unboundedly replicated, modeling arbitrarily many transactions, and a single</w:t>
      </w:r>
      <w:r>
        <w:t xml:space="preserve"> compromised content-channel server, however fully controlled, can still produce only its own signature.</w:t>
      </w:r>
      <w:r>
        <w:t xml:space="preserve"> Property H’s result depends on signature-based server identity </w:t>
      </w:r>
      <w:r>
        <w:t xml:space="preserve">actually being the registry’s verification mechanism at intake;</w:t>
      </w:r>
      <w:r>
        <w:t xml:space="preserve"> if a future revision authenticates submissions some other way, this model would need to be re-derived under that mechanism.</w:t>
      </w:r>
    </w:p>
    <w:p>
      <w:pPr>
        <w:pStyle w:val="Heading2"/>
      </w:pPr>
      <w:r>
        <w:rPr>
          <w:b/>
          <w:bCs/>
        </w:rPr>
        <w:t xml:space="preserve">A.5 Scope, Limitations, and Computational Soundness</w:t>
      </w:r>
    </w:p>
    <w:p>
      <w:pPr>
        <w:pStyle w:val="BodyText"/>
      </w:pPr>
      <w:r>
        <w:t xml:space="preserve">The symbolic model treats AES-256, SHA-256, and the signature schemes as perfect (Dolev-Yao) and </w:t>
      </w:r>
      <w:r>
        <w:t xml:space="preserve">abstracts C’s ring signature and the validator’s ring signature as ordinary signatures (Appendix A.3)</w:t>
      </w:r>
      <w:r>
        <w:t xml:space="preserve">; the ring signature’s unlinkability is evaluated empirically in Appendix D. Computational-soundness results such as Abadi and Rogaway [8]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Appendix D evaluates timing attacks by passive adversaries and does not test a validator that withholds replies. The models also omit replay logging, the key reference, the flags byte and padding. The optional fields are modeled as a single field. For the privacy properties, coordinated compromise of several components, which Section 4.6 treats as defeating the guarantee, is not modeled.</w:t>
      </w:r>
    </w:p>
    <w:p>
      <w:pPr>
        <w:pStyle w:val="BodyText"/>
      </w:pPr>
      <w:r>
        <w:t xml:space="preserve">Table A.2 lists what lies outside the current formal guarantees.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490"/>
        <w:gridCol w:w="4002"/>
        <w:gridCol w:w="3037"/>
        <w:gridCol w:w="1830"/>
      </w:tblGrid>
      <w:tr>
        <w:trPr>
          <w:cantSplit/>
          <w:tblHeader w:val="true"/>
        </w:trPr>
        <w:tc>
          <w:tcPr>
            <w:tcW w:w="490" w:type="dxa"/>
            <w:tcBorders>
              <w:top w:val="single" w:sz="12" w:space="0" w:color="000000"/>
              <w:bottom w:val="single" w:sz="6" w:space="0" w:color="000000"/>
            </w:tcBorders>
            <w:vAlign w:val="bottom"/>
          </w:tcPr>
          <w:p>
            <w:pPr>
              <w:pStyle w:val="TableText"/>
              <w:keepNext/>
            </w:pPr>
            <w:r>
              <w:rPr>
                <w:b/>
                <w:bCs/>
              </w:rPr>
              <w:t xml:space="preserve">#</w:t>
            </w:r>
          </w:p>
        </w:tc>
        <w:tc>
          <w:tcPr>
            <w:tcW w:w="4002" w:type="dxa"/>
            <w:tcBorders>
              <w:top w:val="single" w:sz="12" w:space="0" w:color="000000"/>
              <w:bottom w:val="single" w:sz="6" w:space="0" w:color="000000"/>
            </w:tcBorders>
            <w:vAlign w:val="bottom"/>
          </w:tcPr>
          <w:p>
            <w:pPr>
              <w:pStyle w:val="TableText"/>
              <w:keepNext/>
            </w:pPr>
            <w:r>
              <w:rPr>
                <w:b/>
                <w:bCs/>
              </w:rPr>
              <w:t xml:space="preserve">Limitation</w:t>
            </w:r>
          </w:p>
        </w:tc>
        <w:tc>
          <w:tcPr>
            <w:tcW w:w="3037" w:type="dxa"/>
            <w:tcBorders>
              <w:top w:val="single" w:sz="12" w:space="0" w:color="000000"/>
              <w:bottom w:val="single" w:sz="6" w:space="0" w:color="000000"/>
            </w:tcBorders>
            <w:vAlign w:val="bottom"/>
          </w:tcPr>
          <w:p>
            <w:pPr>
              <w:pStyle w:val="TableText"/>
              <w:keepNext/>
            </w:pPr>
            <w:r>
              <w:rPr>
                <w:b/>
                <w:bCs/>
              </w:rPr>
              <w:t xml:space="preserve">Status</w:t>
            </w:r>
          </w:p>
        </w:tc>
        <w:tc>
          <w:tcPr>
            <w:tcW w:w="1830" w:type="dxa"/>
            <w:tcBorders>
              <w:top w:val="single" w:sz="12" w:space="0" w:color="000000"/>
              <w:bottom w:val="single" w:sz="6" w:space="0" w:color="000000"/>
            </w:tcBorders>
            <w:vAlign w:val="bottom"/>
          </w:tcPr>
          <w:p>
            <w:pPr>
              <w:pStyle w:val="TableText"/>
              <w:keepNext/>
            </w:pPr>
            <w:r>
              <w:rPr>
                <w:b/>
                <w:bCs/>
              </w:rPr>
              <w:t xml:space="preserve">Where addressed</w:t>
            </w:r>
          </w:p>
        </w:tc>
      </w:tr>
      <w:tr>
        <w:trPr>
          <w:cantSplit/>
        </w:trPr>
        <w:tc>
          <w:tcPr>
            <w:tcW w:w="490" w:type="dxa"/>
            <w:tcBorders>
              <w:bottom w:val="single" w:sz="2" w:space="0" w:color="BFBFBF"/>
            </w:tcBorders>
            <w:vAlign w:val="top"/>
          </w:tcPr>
          <w:p>
            <w:pPr>
              <w:pStyle w:val="TableText"/>
              <w:keepNext/>
            </w:pPr>
            <w:r>
              <w:t xml:space="preserve">1</w:t>
            </w:r>
          </w:p>
        </w:tc>
        <w:tc>
          <w:tcPr>
            <w:tcW w:w="4002" w:type="dxa"/>
            <w:tcBorders>
              <w:bottom w:val="single" w:sz="2" w:space="0" w:color="BFBFBF"/>
            </w:tcBorders>
            <w:vAlign w:val="top"/>
          </w:tcPr>
          <w:p>
            <w:pPr>
              <w:pStyle w:val="TableText"/>
              <w:keepNext/>
            </w:pPr>
            <w:r>
              <w:t xml:space="preserve">Physical realization (side-channel, power analysis, timing leakage in the A_HW class)</w:t>
            </w:r>
          </w:p>
        </w:tc>
        <w:tc>
          <w:tcPr>
            <w:tcW w:w="3037" w:type="dxa"/>
            <w:tcBorders>
              <w:bottom w:val="single" w:sz="2" w:space="0" w:color="BFBFBF"/>
            </w:tcBorders>
            <w:vAlign w:val="top"/>
          </w:tcPr>
          <w:p>
            <w:pPr>
              <w:pStyle w:val="TableText"/>
              <w:keepNext/>
            </w:pPr>
            <w:r>
              <w:t xml:space="preserve">Out of scope: a physical implementation concern, not a property of the protocol</w:t>
            </w:r>
          </w:p>
        </w:tc>
        <w:tc>
          <w:tcPr>
            <w:tcW w:w="1830" w:type="dxa"/>
            <w:tcBorders>
              <w:bottom w:val="single" w:sz="2" w:space="0" w:color="BFBFBF"/>
            </w:tcBorders>
            <w:vAlign w:val="top"/>
          </w:tcPr>
          <w:p>
            <w:pPr>
              <w:pStyle w:val="TableText"/>
              <w:keepNext/>
            </w:pPr>
            <w:r>
              <w:t xml:space="preserve">Section 4.1 (A_HW)</w:t>
            </w:r>
          </w:p>
        </w:tc>
      </w:tr>
      <w:tr>
        <w:trPr>
          <w:cantSplit/>
        </w:trPr>
        <w:tc>
          <w:tcPr>
            <w:tcW w:w="490" w:type="dxa"/>
            <w:tcBorders>
              <w:bottom w:val="single" w:sz="2" w:space="0" w:color="BFBFBF"/>
            </w:tcBorders>
            <w:vAlign w:val="top"/>
          </w:tcPr>
          <w:p>
            <w:pPr>
              <w:pStyle w:val="TableText"/>
              <w:keepNext/>
            </w:pPr>
            <w:r>
              <w:t xml:space="preserve">2</w:t>
            </w:r>
          </w:p>
        </w:tc>
        <w:tc>
          <w:tcPr>
            <w:tcW w:w="4002" w:type="dxa"/>
            <w:tcBorders>
              <w:bottom w:val="single" w:sz="2" w:space="0" w:color="BFBFBF"/>
            </w:tcBorders>
            <w:vAlign w:val="top"/>
          </w:tcPr>
          <w:p>
            <w:pPr>
              <w:pStyle w:val="TableText"/>
              <w:keepNext/>
            </w:pPr>
            <w:r>
              <w:t xml:space="preserve">Traffic analysis and timing correlation against an adversary holding no keys</w:t>
            </w:r>
          </w:p>
        </w:tc>
        <w:tc>
          <w:tcPr>
            <w:tcW w:w="3037" w:type="dxa"/>
            <w:tcBorders>
              <w:bottom w:val="single" w:sz="2" w:space="0" w:color="BFBFBF"/>
            </w:tcBorders>
            <w:vAlign w:val="top"/>
          </w:tcPr>
          <w:p>
            <w:pPr>
              <w:pStyle w:val="TableText"/>
              <w:keepNext/>
            </w:pPr>
            <w:r>
              <w:t xml:space="preserve">Empirical</w:t>
            </w:r>
          </w:p>
        </w:tc>
        <w:tc>
          <w:tcPr>
            <w:tcW w:w="1830" w:type="dxa"/>
            <w:tcBorders>
              <w:bottom w:val="single" w:sz="2" w:space="0" w:color="BFBFBF"/>
            </w:tcBorders>
            <w:vAlign w:val="top"/>
          </w:tcPr>
          <w:p>
            <w:pPr>
              <w:pStyle w:val="TableText"/>
              <w:keepNext/>
            </w:pPr>
            <w:r>
              <w:t xml:space="preserve">Appendix D (all seven vantage points)</w:t>
            </w:r>
          </w:p>
        </w:tc>
      </w:tr>
      <w:tr>
        <w:trPr>
          <w:cantSplit/>
        </w:trPr>
        <w:tc>
          <w:tcPr>
            <w:tcW w:w="490" w:type="dxa"/>
            <w:tcBorders>
              <w:bottom w:val="single" w:sz="2" w:space="0" w:color="BFBFBF"/>
            </w:tcBorders>
            <w:vAlign w:val="top"/>
          </w:tcPr>
          <w:p>
            <w:pPr>
              <w:pStyle w:val="TableText"/>
              <w:keepNext/>
            </w:pPr>
            <w:r>
              <w:t xml:space="preserve">3</w:t>
            </w:r>
          </w:p>
        </w:tc>
        <w:tc>
          <w:tcPr>
            <w:tcW w:w="4002" w:type="dxa"/>
            <w:tcBorders>
              <w:bottom w:val="single" w:sz="2" w:space="0" w:color="BFBFBF"/>
            </w:tcBorders>
            <w:vAlign w:val="top"/>
          </w:tcPr>
          <w:p>
            <w:pPr>
              <w:pStyle w:val="TableText"/>
              <w:keepNext/>
            </w:pPr>
            <w:r>
              <w:t xml:space="preserve">Governance compromise and legal compulsion</w:t>
            </w:r>
          </w:p>
        </w:tc>
        <w:tc>
          <w:tcPr>
            <w:tcW w:w="3037" w:type="dxa"/>
            <w:tcBorders>
              <w:bottom w:val="single" w:sz="2" w:space="0" w:color="BFBFBF"/>
            </w:tcBorders>
            <w:vAlign w:val="top"/>
          </w:tcPr>
          <w:p>
            <w:pPr>
              <w:pStyle w:val="TableText"/>
              <w:keepNext/>
            </w:pPr>
            <w:r>
              <w:t xml:space="preserve">Governance and audit</w:t>
            </w:r>
          </w:p>
        </w:tc>
        <w:tc>
          <w:tcPr>
            <w:tcW w:w="1830" w:type="dxa"/>
            <w:tcBorders>
              <w:bottom w:val="single" w:sz="2" w:space="0" w:color="BFBFBF"/>
            </w:tcBorders>
            <w:vAlign w:val="top"/>
          </w:tcPr>
          <w:p>
            <w:pPr>
              <w:pStyle w:val="TableText"/>
              <w:keepNext/>
            </w:pPr>
            <w:r>
              <w:t xml:space="preserve">Section 6.2; Appendix C</w:t>
            </w:r>
          </w:p>
        </w:tc>
      </w:tr>
      <w:tr>
        <w:trPr>
          <w:cantSplit/>
        </w:trPr>
        <w:tc>
          <w:tcPr>
            <w:tcW w:w="490" w:type="dxa"/>
            <w:tcBorders>
              <w:bottom w:val="single" w:sz="2" w:space="0" w:color="BFBFBF"/>
            </w:tcBorders>
            <w:vAlign w:val="top"/>
          </w:tcPr>
          <w:p>
            <w:pPr>
              <w:pStyle w:val="TableText"/>
              <w:keepNext/>
            </w:pPr>
            <w:r>
              <w:t xml:space="preserve">4</w:t>
            </w:r>
          </w:p>
        </w:tc>
        <w:tc>
          <w:tcPr>
            <w:tcW w:w="4002" w:type="dxa"/>
            <w:tcBorders>
              <w:bottom w:val="single" w:sz="2" w:space="0" w:color="BFBFBF"/>
            </w:tcBorders>
            <w:vAlign w:val="top"/>
          </w:tcPr>
          <w:p>
            <w:pPr>
              <w:pStyle w:val="TableText"/>
              <w:keepNext/>
            </w:pPr>
            <w:r>
              <w:t xml:space="preserve">Blockchain consensus and liveness</w:t>
            </w:r>
          </w:p>
        </w:tc>
        <w:tc>
          <w:tcPr>
            <w:tcW w:w="3037" w:type="dxa"/>
            <w:tcBorders>
              <w:bottom w:val="single" w:sz="2" w:space="0" w:color="BFBFBF"/>
            </w:tcBorders>
            <w:vAlign w:val="top"/>
          </w:tcPr>
          <w:p>
            <w:pPr>
              <w:pStyle w:val="TableText"/>
              <w:keepNext/>
            </w:pPr>
            <w:r>
              <w:t xml:space="preserve">Out of scope; liveness handled by governance removal</w:t>
            </w:r>
          </w:p>
        </w:tc>
        <w:tc>
          <w:tcPr>
            <w:tcW w:w="1830" w:type="dxa"/>
            <w:tcBorders>
              <w:bottom w:val="single" w:sz="2" w:space="0" w:color="BFBFBF"/>
            </w:tcBorders>
            <w:vAlign w:val="top"/>
          </w:tcPr>
          <w:p>
            <w:pPr>
              <w:pStyle w:val="TableText"/>
              <w:keepNext/>
            </w:pPr>
            <w:r>
              <w:t xml:space="preserve">Section 4.1</w:t>
            </w:r>
          </w:p>
        </w:tc>
      </w:tr>
      <w:tr>
        <w:trPr>
          <w:cantSplit/>
        </w:trPr>
        <w:tc>
          <w:tcPr>
            <w:tcW w:w="490" w:type="dxa"/>
            <w:tcBorders>
              <w:bottom w:val="single" w:sz="2" w:space="0" w:color="BFBFBF"/>
            </w:tcBorders>
            <w:vAlign w:val="top"/>
          </w:tcPr>
          <w:p>
            <w:pPr>
              <w:pStyle w:val="TableText"/>
              <w:keepNext/>
            </w:pPr>
            <w:r>
              <w:t xml:space="preserve">5</w:t>
            </w:r>
          </w:p>
        </w:tc>
        <w:tc>
          <w:tcPr>
            <w:tcW w:w="4002" w:type="dxa"/>
            <w:tcBorders>
              <w:bottom w:val="single" w:sz="2" w:space="0" w:color="BFBFBF"/>
            </w:tcBorders>
            <w:vAlign w:val="top"/>
          </w:tcPr>
          <w:p>
            <w:pPr>
              <w:pStyle w:val="TableText"/>
              <w:keepNext/>
            </w:pPr>
            <w:r>
              <w:t xml:space="preserve">Network-layer identity exposure (source IP address)</w:t>
            </w:r>
          </w:p>
        </w:tc>
        <w:tc>
          <w:tcPr>
            <w:tcW w:w="3037" w:type="dxa"/>
            <w:tcBorders>
              <w:bottom w:val="single" w:sz="2" w:space="0" w:color="BFBFBF"/>
            </w:tcBorders>
            <w:vAlign w:val="top"/>
          </w:tcPr>
          <w:p>
            <w:pPr>
              <w:pStyle w:val="TableText"/>
              <w:keepNext/>
            </w:pPr>
            <w:r>
              <w:t xml:space="preserve">Architectural requirement (G6), not verifiable in the symbolic model; empirical check</w:t>
            </w:r>
          </w:p>
        </w:tc>
        <w:tc>
          <w:tcPr>
            <w:tcW w:w="1830" w:type="dxa"/>
            <w:tcBorders>
              <w:bottom w:val="single" w:sz="2" w:space="0" w:color="BFBFBF"/>
            </w:tcBorders>
            <w:vAlign w:val="top"/>
          </w:tcPr>
          <w:p>
            <w:pPr>
              <w:pStyle w:val="TableText"/>
              <w:keepNext/>
            </w:pPr>
            <w:r>
              <w:t xml:space="preserve">G6 (Section 4.2); Appendix D</w:t>
            </w:r>
          </w:p>
        </w:tc>
      </w:tr>
      <w:tr>
        <w:trPr>
          <w:cantSplit/>
        </w:trPr>
        <w:tc>
          <w:tcPr>
            <w:tcW w:w="490" w:type="dxa"/>
            <w:tcBorders>
              <w:bottom w:val="single" w:sz="12" w:space="0" w:color="000000"/>
            </w:tcBorders>
            <w:vAlign w:val="top"/>
          </w:tcPr>
          <w:p>
            <w:pPr>
              <w:pStyle w:val="TableText"/>
            </w:pPr>
            <w:r>
              <w:t xml:space="preserve">6</w:t>
            </w:r>
          </w:p>
        </w:tc>
        <w:tc>
          <w:tcPr>
            <w:tcW w:w="4002" w:type="dxa"/>
            <w:tcBorders>
              <w:bottom w:val="single" w:sz="12" w:space="0" w:color="000000"/>
            </w:tcBorders>
            <w:vAlign w:val="top"/>
          </w:tcPr>
          <w:p>
            <w:pPr>
              <w:pStyle w:val="TableText"/>
            </w:pPr>
            <w:r>
              <w:t xml:space="preserve">Duplicate-collapse write rule (a database invariant, not an adversarial protocol property)</w:t>
            </w:r>
          </w:p>
        </w:tc>
        <w:tc>
          <w:tcPr>
            <w:tcW w:w="3037" w:type="dxa"/>
            <w:tcBorders>
              <w:bottom w:val="single" w:sz="12" w:space="0" w:color="000000"/>
            </w:tcBorders>
            <w:vAlign w:val="top"/>
          </w:tcPr>
          <w:p>
            <w:pPr>
              <w:pStyle w:val="TableText"/>
            </w:pPr>
            <w:r>
              <w:t xml:space="preserve">Audited operationally</w:t>
            </w:r>
          </w:p>
        </w:tc>
        <w:tc>
          <w:tcPr>
            <w:tcW w:w="1830" w:type="dxa"/>
            <w:tcBorders>
              <w:bottom w:val="single" w:sz="12" w:space="0" w:color="000000"/>
            </w:tcBorders>
            <w:vAlign w:val="top"/>
          </w:tcPr>
          <w:p>
            <w:pPr>
              <w:pStyle w:val="TableText"/>
            </w:pPr>
            <w:r>
              <w:t xml:space="preserve">Section 3.3; Section 6.2</w:t>
            </w:r>
          </w:p>
        </w:tc>
      </w:tr>
    </w:tbl>
    <w:p>
      <w:pPr>
        <w:pStyle w:val="Heading1"/>
      </w:pPr>
      <w:r>
        <w:rPr>
          <w:b/>
          <w:bCs/>
        </w:rPr>
        <w:t xml:space="preserve">APPENDIX B: DEVICE-SIDE COMPUTATIONAL TIMING (ESTIMATED FROM PUBLISHED BENCHMARKS)</w:t>
      </w:r>
    </w:p>
    <w:p>
      <w:pPr>
        <w:pStyle w:val="BodyText"/>
      </w:pPr>
      <w:r>
        <w:t xml:space="preserve">This paper’s device-side timing claim (Section 5, 6.1) rests on published benchmarks for standard, non-novel cryptographic primitives, not on fresh measurement of a specific prototype; no timing instrumentation has been run on this architecture’s own implementation.</w:t>
      </w:r>
      <w:r>
        <w:t xml:space="preserve"> This estimate is device-side only; the validator’s signing operation (Section 3.3) is not a device cost.</w:t>
      </w:r>
      <w:r>
        <w:t xml:space="preserve"> The estimate is built as follows.</w:t>
      </w:r>
    </w:p>
    <w:p>
      <w:pPr>
        <w:pStyle w:val="BodyText"/>
      </w:pPr>
      <w:r>
        <w:t xml:space="preserve">Seven ECIES encryption operations are required per capture, </w:t>
      </w:r>
      <w:r>
        <w:t xml:space="preserve">each requiring two elliptic-curve scalar multiplications for fourteen total (one fixed-base and one variable-base, except the three encapsulations to blinded destination keys, which take two variable-base):</w:t>
      </w:r>
      <w:r>
        <w:t xml:space="preserve"> one to encapsulate the device token under V-token_pk; one to encapsulate the credential bundle (the encrypted token plus PacketHash in the clear) under C’s relay-terminus key; two more to encapsulate the content channel under each of the two content-channel submission servers’ relay-terminus keys independently; and three further wraps, one per channel, for delivery to each channel’s first relay hop (Section 3.2), an unavoidable cost of the relay layer that a direct-delivery count would omit.</w:t>
      </w:r>
    </w:p>
    <w:p>
      <w:pPr>
        <w:pStyle w:val="BodyText"/>
      </w:pPr>
      <w:r>
        <w:t xml:space="preserve">Bernstein and Schwabe [17] report 527,102 cycles (1,517 operations/second) for this exact operation, an ECDH-style key agreement, on a single 800 MHz ARM Cortex-A8 core, the slowest, oldest hardware class this paper’s “commodity embedded processors” claim is meant to cover. That figure gives 0.659 ms per operation, </w:t>
      </w:r>
      <w:r>
        <w:t xml:space="preserve">so the ten variable-base multiplications among the fourteen take roughly 6.6 ms (5.27 million cycles). If every fixed-base multiplication cost as much as a variable-base one, all fourteen would cost 7.38 million cycles, roughly 9.2 ms. A precomputed fixed-base multiplication is cheaper, so the estimate lies between 6.6 ms and 9.2 ms.</w:t>
      </w:r>
      <w:r>
        <w:t xml:space="preserve"/>
      </w:r>
    </w:p>
    <w:p>
      <w:pPr>
        <w:pStyle w:val="BodyText"/>
      </w:pPr>
      <w:r>
        <w:t xml:space="preserve">Symmetric authenticated encryption of the credential bundle (AES-256-GCM) operates on inputs of a few hundred bytes at most, and published NEON-optimized throughput on the same hardware class (5.60 cycles per byte) puts this at a small fraction of a millisecond, negligible next to the ECC cost. BlindShare_key generation, a symmetric key generated fresh per transaction by C rather than the device, adds no device-side cost.</w:t>
      </w:r>
    </w:p>
    <w:p>
      <w:pPr>
        <w:pStyle w:val="BodyText"/>
      </w:pPr>
      <w:r>
        <w:t xml:space="preserve">Hashing the media content to produce ContentHash is a separate, substantially larger cost, since it operates on the full raw image rather than a small value, and does not belong in the same category as the key-encapsulation operations above. eBACS [18] reports SHA-256 throughput of approximately 13.7 cycles/byte for long messages on this same Cortex-A8 hardware class, software-only, no hardware acceleration. A representative RAW file, roughly 25–35 MB for a 24-megapixel sensor and larger for higher resolutions, yields an estimated 430–600 ms on this conservative baseline; hardware-accelerated SHA (ARMv8 crypto extensions, roughly 3.6× faster on comparable hardware) brings this down to roughly 120–170 ms, still not negligible. This dominates the device-side timing budget; the ECC and symmetric operations above are a small fraction of the total by comparison.</w:t>
      </w:r>
    </w:p>
    <w:p>
      <w:pPr>
        <w:pStyle w:val="BodyText"/>
      </w:pPr>
      <w:r>
        <w:t xml:space="preserve">The 2–10 ms range stated in Section 6.1 covers only the key-encapsulation and symmetric operations on small values </w:t>
      </w:r>
      <w:r>
        <w:t xml:space="preserve">(about 6.6–9.2 ms on the slowest baseline)</w:t>
      </w:r>
      <w:r>
        <w:t xml:space="preserve">. Hashing the media content adds hundreds of milliseconds and scales with file size and hardware acceleration.</w:t>
      </w:r>
    </w:p>
    <w:p>
      <w:pPr>
        <w:pStyle w:val="BodyText"/>
      </w:pPr>
      <w:r>
        <w:t xml:space="preserve">Table A.3 sets the hashing cost beside the cost of proving the same hash in zero knowledge. The file is 30 MB, the middle of the 25–35 MB range above, or 468,750 SHA-256 compressions. The Cortex-A8 row comes from different hardware than the other three rows, so the table shows scale, not exact ratios.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500"/>
        <w:gridCol w:w="2500"/>
        <w:gridCol w:w="1500"/>
        <w:gridCol w:w="1852"/>
      </w:tblGrid>
      <w:tr>
        <w:trPr>
          <w:cantSplit/>
          <w:tblHeader w:val="true"/>
        </w:trPr>
        <w:tc>
          <w:tcPr>
            <w:tcW w:w="3500" w:type="dxa"/>
            <w:tcBorders>
              <w:top w:val="single" w:sz="12" w:space="0" w:color="000000"/>
              <w:bottom w:val="single" w:sz="6" w:space="0" w:color="000000"/>
            </w:tcBorders>
            <w:vAlign w:val="bottom"/>
          </w:tcPr>
          <w:p>
            <w:pPr>
              <w:pStyle w:val="TableText"/>
              <w:keepNext/>
            </w:pPr>
            <w:r>
              <w:rPr>
                <w:b/>
                <w:bCs/>
              </w:rPr>
              <w:t xml:space="preserve">Item</w:t>
            </w:r>
          </w:p>
        </w:tc>
        <w:tc>
          <w:tcPr>
            <w:tcW w:w="2500" w:type="dxa"/>
            <w:tcBorders>
              <w:top w:val="single" w:sz="12" w:space="0" w:color="000000"/>
              <w:bottom w:val="single" w:sz="6" w:space="0" w:color="000000"/>
            </w:tcBorders>
            <w:vAlign w:val="bottom"/>
          </w:tcPr>
          <w:p>
            <w:pPr>
              <w:pStyle w:val="TableText"/>
              <w:keepNext/>
            </w:pPr>
            <w:r>
              <w:rPr>
                <w:b/>
                <w:bCs/>
              </w:rPr>
              <w:t xml:space="preserve">Cost</w:t>
            </w:r>
          </w:p>
        </w:tc>
        <w:tc>
          <w:tcPr>
            <w:tcW w:w="1500" w:type="dxa"/>
            <w:tcBorders>
              <w:top w:val="single" w:sz="12" w:space="0" w:color="000000"/>
              <w:bottom w:val="single" w:sz="6" w:space="0" w:color="000000"/>
            </w:tcBorders>
            <w:vAlign w:val="bottom"/>
          </w:tcPr>
          <w:p>
            <w:pPr>
              <w:pStyle w:val="TableText"/>
              <w:keepNext/>
            </w:pPr>
            <w:r>
              <w:rPr>
                <w:b/>
                <w:bCs/>
              </w:rPr>
              <w:t xml:space="preserve">Relative to native SHA-256</w:t>
            </w:r>
          </w:p>
        </w:tc>
        <w:tc>
          <w:tcPr>
            <w:tcW w:w="1852"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3500" w:type="dxa"/>
            <w:tcBorders>
              <w:bottom w:val="single" w:sz="2" w:space="0" w:color="BFBFBF"/>
            </w:tcBorders>
            <w:vAlign w:val="top"/>
          </w:tcPr>
          <w:p>
            <w:pPr>
              <w:pStyle w:val="TableText"/>
              <w:keepNext/>
            </w:pPr>
            <w:r>
              <w:t xml:space="preserve">SHA-256 of a 30 MB file, native (no SHA instructions), one Apple M4 Max core</w:t>
            </w:r>
          </w:p>
        </w:tc>
        <w:tc>
          <w:tcPr>
            <w:tcW w:w="2500" w:type="dxa"/>
            <w:tcBorders>
              <w:bottom w:val="single" w:sz="2" w:space="0" w:color="BFBFBF"/>
            </w:tcBorders>
            <w:vAlign w:val="top"/>
          </w:tcPr>
          <w:p>
            <w:pPr>
              <w:pStyle w:val="TableText"/>
              <w:keepNext/>
            </w:pPr>
            <w:r>
              <w:t xml:space="preserve">about 66 ms</w:t>
            </w:r>
          </w:p>
        </w:tc>
        <w:tc>
          <w:tcPr>
            <w:tcW w:w="1500" w:type="dxa"/>
            <w:tcBorders>
              <w:bottom w:val="single" w:sz="2" w:space="0" w:color="BFBFBF"/>
            </w:tcBorders>
            <w:vAlign w:val="top"/>
          </w:tcPr>
          <w:p>
            <w:pPr>
              <w:pStyle w:val="TableText"/>
              <w:keepNext/>
            </w:pPr>
            <w:r>
              <w:t xml:space="preserve">1×</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SHA-256 of the same file, software only, Cortex-A8 class (this paper’s worst case)</w:t>
            </w:r>
          </w:p>
        </w:tc>
        <w:tc>
          <w:tcPr>
            <w:tcW w:w="2500" w:type="dxa"/>
            <w:tcBorders>
              <w:bottom w:val="single" w:sz="2" w:space="0" w:color="BFBFBF"/>
            </w:tcBorders>
            <w:vAlign w:val="top"/>
          </w:tcPr>
          <w:p>
            <w:pPr>
              <w:pStyle w:val="TableText"/>
              <w:keepNext/>
            </w:pPr>
            <w:r>
              <w:t xml:space="preserve">430–600 ms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Appendix B above; [18]</w:t>
            </w:r>
          </w:p>
        </w:tc>
      </w:tr>
      <w:tr>
        <w:trPr>
          <w:cantSplit/>
        </w:trPr>
        <w:tc>
          <w:tcPr>
            <w:tcW w:w="3500" w:type="dxa"/>
            <w:tcBorders>
              <w:bottom w:val="single" w:sz="2" w:space="0" w:color="BFBFBF"/>
            </w:tcBorders>
            <w:vAlign w:val="top"/>
          </w:tcPr>
          <w:p>
            <w:pPr>
              <w:pStyle w:val="TableText"/>
              <w:keepNext/>
            </w:pPr>
            <w:r>
              <w:t xml:space="preserve">Proving the hash with Flock (no zero-knowledge), one M4 Max core</w:t>
            </w:r>
          </w:p>
        </w:tc>
        <w:tc>
          <w:tcPr>
            <w:tcW w:w="2500" w:type="dxa"/>
            <w:tcBorders>
              <w:bottom w:val="single" w:sz="2" w:space="0" w:color="BFBFBF"/>
            </w:tcBorders>
            <w:vAlign w:val="top"/>
          </w:tcPr>
          <w:p>
            <w:pPr>
              <w:pStyle w:val="TableText"/>
              <w:keepNext/>
            </w:pPr>
            <w:r>
              <w:t xml:space="preserve">about 11 s</w:t>
            </w:r>
          </w:p>
        </w:tc>
        <w:tc>
          <w:tcPr>
            <w:tcW w:w="1500" w:type="dxa"/>
            <w:tcBorders>
              <w:bottom w:val="single" w:sz="2" w:space="0" w:color="BFBFBF"/>
            </w:tcBorders>
            <w:vAlign w:val="top"/>
          </w:tcPr>
          <w:p>
            <w:pPr>
              <w:pStyle w:val="TableText"/>
              <w:keepNext/>
            </w:pPr>
            <w:r>
              <w:t xml:space="preserve">about 170×</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Proving the hash with Binius64 (zero-knowledge), one M4 Max core</w:t>
            </w:r>
          </w:p>
        </w:tc>
        <w:tc>
          <w:tcPr>
            <w:tcW w:w="2500" w:type="dxa"/>
            <w:tcBorders>
              <w:bottom w:val="single" w:sz="2" w:space="0" w:color="BFBFBF"/>
            </w:tcBorders>
            <w:vAlign w:val="top"/>
          </w:tcPr>
          <w:p>
            <w:pPr>
              <w:pStyle w:val="TableText"/>
              <w:keepNext/>
            </w:pPr>
            <w:r>
              <w:t xml:space="preserve">about 94 s</w:t>
            </w:r>
          </w:p>
        </w:tc>
        <w:tc>
          <w:tcPr>
            <w:tcW w:w="1500" w:type="dxa"/>
            <w:tcBorders>
              <w:bottom w:val="single" w:sz="2" w:space="0" w:color="BFBFBF"/>
            </w:tcBorders>
            <w:vAlign w:val="top"/>
          </w:tcPr>
          <w:p>
            <w:pPr>
              <w:pStyle w:val="TableText"/>
              <w:keepNext/>
            </w:pPr>
            <w:r>
              <w:t xml:space="preserve">about 1,400×</w:t>
            </w:r>
          </w:p>
        </w:tc>
        <w:tc>
          <w:tcPr>
            <w:tcW w:w="1852" w:type="dxa"/>
            <w:tcBorders>
              <w:bottom w:val="single" w:sz="2" w:space="0" w:color="BFBFBF"/>
            </w:tcBorders>
            <w:vAlign w:val="top"/>
          </w:tcPr>
          <w:p>
            <w:pPr>
              <w:pStyle w:val="TableText"/>
              <w:keepNext/>
            </w:pPr>
            <w:r>
              <w:t xml:space="preserve">[19]</w:t>
            </w:r>
          </w:p>
        </w:tc>
      </w:tr>
    </w:tbl>
    <w:p>
      <w:pPr>
        <w:pStyle w:val="BodyText"/>
        <w:spacing w:before="200"/>
      </w:pPr>
      <w:r>
        <w:t xml:space="preserve">Proving the hash costs about 170 times (Flock, without zero-knowledge) and about 1,400 times (Binius64, with zero-knowledge) what computing it costs on the same core; these ratios come from the throughputs in Table 2 of [19]. Against this paper’s worst case of 430–600 ms, Binius64’s roughly 94 seconds is about 160 to 220 times slower, and Flock’s roughly 11 seconds is about 19 to 26 times slower, even though both ran on a desktop core and the worst case is a Cortex-A8-class core.</w:t>
      </w:r>
    </w:p>
    <w:p>
      <w:pPr>
        <w:pStyle w:val="Heading1"/>
      </w:pPr>
      <w:r>
        <w:rPr>
          <w:b/>
          <w:bCs/>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t xml:space="preserve"> nothing here is formally verified, and it should be read at the same level of confidence as Section 5’s other deployment-specific commitments.</w:t>
      </w:r>
    </w:p>
    <w:p>
      <w:pPr>
        <w:pStyle w:val="BodyText"/>
      </w:pPr>
      <w:r>
        <w:rPr>
          <w:b/>
          <w:bCs/>
        </w:rPr>
        <w:t xml:space="preserve">Roles.</w:t>
      </w:r>
      <w:r>
        <w:t xml:space="preserve"> Credential validators (camera manufacturers, application developers) participate as integrators; there is no admission process, since they are the system’s customers, not Coalition members. Submission server operators are Coalition Members: eligible organizations in journalism, fact-checking, press freedom, or information integrity, explicitly excluding media-production organizations for conflict of interest, consistent with Section 6.2. Each Coalition Member owns one or more node slots, conferring both submission-server operating rights and Registry Node operation.</w:t>
      </w:r>
    </w:p>
    <w:p>
      <w:pPr>
        <w:pStyle w:val="BodyText"/>
      </w:pPr>
      <w:r>
        <w:rPr>
          <w:b/>
          <w:bCs/>
        </w:rPr>
        <w:t xml:space="preserve">Ownership limits.</w:t>
      </w:r>
      <w:r>
        <w:t xml:space="preserve"> No single organization may hold more than 2 nodes or 10% of total nodes, whichever is higher; related organizations count as one entity for this purpose.</w:t>
      </w:r>
    </w:p>
    <w:p>
      <w:pPr>
        <w:pStyle w:val="BodyText"/>
      </w:pPr>
      <w:r>
        <w:rPr>
          <w:b/>
          <w:bCs/>
        </w:rPr>
        <w:t xml:space="preserve">Consensus.</w:t>
      </w:r>
      <w:r>
        <w:t xml:space="preserve"> GRANDPA finalization, 67% agreement threshold, consistent with the 2:1 honest-to-compromised ratio already assumed in Section 6.2.</w:t>
      </w:r>
    </w:p>
    <w:p>
      <w:pPr>
        <w:pStyle w:val="BodyText"/>
      </w:pPr>
      <w:r>
        <w:rPr>
          <w:b/>
          <w:bCs/>
        </w:rPr>
        <w:t xml:space="preserve">Removal.</w:t>
      </w:r>
      <w:r>
        <w:t xml:space="preserve"> </w:t>
      </w:r>
      <w:r>
        <w:t xml:space="preserve">Removal requires a formal proposal and a 67% vote; legal compulsion to violate the charter triggers mandatory removal, consistent with Section 6.2.</w:t>
      </w:r>
    </w:p>
    <w:p>
      <w:pPr>
        <w:pStyle w:val="BodyText"/>
      </w:pPr>
      <w:r>
        <w:rPr>
          <w:b/>
          <w:bCs/>
        </w:rPr>
        <w:t xml:space="preserve">Manufacturer key rotation and revocation.</w:t>
      </w:r>
      <w:r>
        <w:t xml:space="preserve"> Manufacturer keys (V-token_pk/V-token_sk, and separately V-sign_pk/V-sign_sk) are manufacturer-controlled, not consortium-issued, consistent with credential validators operating outside consortium governance (Section 6.2). A registry of currently-valid manufacturer public keys, maintained alongside the schema-attestation mechanism (Section 6.2), </w:t>
      </w:r>
      <w:r>
        <w:t xml:space="preserve">lets gatekeepers reject signatures from a revoked key going forward: a gatekeeper checks the validator’s signature against Ring V, which is built from the currently valid keys in this registry, so a revoked key is not in the ring and its signatures fail (Section 3.3).</w:t>
      </w:r>
      <w:r>
        <w:t xml:space="preserve"> A compromised or rotated key does not retroactively invalidate past registry entries, since past authentications do not depend on the current validity of the key that produced them, and a later key compromise does not itself enable correlation of past submissions (Property E, Appendix A.3). If a manufacturer ceases operating its validator entirely, devices it registered can no longer produce new authenticated submissions (Section 6.3).</w:t>
      </w:r>
    </w:p>
    <w:p>
      <w:pPr>
        <w:pStyle w:val="BodyText"/>
      </w:pPr>
      <w:r>
        <w:rPr>
          <w:b/>
          <w:bCs/>
        </w:rPr>
        <w:t xml:space="preserve">Manufacturer schema attestation.</w:t>
      </w:r>
      <w:r>
        <w:t xml:space="preserve"> Before connecting to the consortium network, a credential validator operator’s manufacturing database is audited by an independent party who directly inspects the schema to confirm it supports only membership queries, with no device-identifier-to-token mapping present. The auditor and manufacturer co-sign the schema attestation, which is posted to the Birthmark Registry. The attestation is immutable; any later audit triggered by suspicion can compare the current schema against the committed record. Discrepancy is provably post-certification, establishing clear accountability without requiring recurring audit structure. This mechanism is a hardening example for the audited constraint preservation model described in Section 6.2; the architecture does not prescribe it as the only compliant approach.</w:t>
      </w:r>
    </w:p>
    <w:p>
      <w:pPr>
        <w:pStyle w:val="Heading1"/>
      </w:pPr>
      <w:r>
        <w:rPr>
          <w:b/>
          <w:bCs/>
        </w:rPr>
        <w:t xml:space="preserve">APPENDIX D: EMPIRICAL EVALUATION</w:t>
      </w:r>
    </w:p>
    <w:p>
      <w:pPr>
        <w:pStyle w:val="Heading2"/>
      </w:pPr>
      <w:r>
        <w:rPr>
          <w:b/>
          <w:bCs/>
        </w:rPr>
        <w:t xml:space="preserve">D.1 Overview</w:t>
      </w:r>
    </w:p>
    <w:p>
      <w:pPr>
        <w:pStyle w:val="BodyText"/>
      </w:pPr>
      <w:r>
        <w:t xml:space="preserve">This appendix reports an empirical evaluation of questions the formal properties in Appendix A cannot address: the ProVerif models have no notion of timing or packet size, and the symbolic model makes no claims about what a party with legitimate access to its own keys and internal timing can infer. Appendix D evaluates both gaps together in one experiment.</w:t>
      </w:r>
    </w:p>
    <w:p>
      <w:pPr>
        <w:pStyle w:val="BodyText"/>
      </w:pPr>
      <w:r>
        <w:t xml:space="preserve">The experiment, InternalCompromiseRun, simulates the protocol's full message flow with real and decoy traffic and attacks it from seven vantage points simultaneously: a passive network observer holding no keys, and each of the six key-holding components (first-hop relays on the credential and content paths, the credential processor C, the validator V, the gatekeepers, and the content servers F and I). Each adversary holds every key its component legitimately holds, its component's exact event timing, and a passive view of traffic sizes and timing on every link. Full code, parameters, and per-cell data are in the paper's companion repository at SNAExperiment/.</w:t>
      </w:r>
    </w:p>
    <w:p>
      <w:pPr>
        <w:pStyle w:val="Heading2"/>
      </w:pPr>
      <w:r>
        <w:rPr>
          <w:b/>
          <w:bCs/>
        </w:rPr>
        <w:t xml:space="preserve">D.2 Setup</w:t>
      </w:r>
    </w:p>
    <w:p>
      <w:pPr>
        <w:pStyle w:val="BodyText"/>
      </w:pPr>
      <w:r>
        <w:t xml:space="preserve">Twenty submission servers, one validator, and three active gatekeepers operate per run. Each transaction uses nine distinct nodes: a credential path (A → B → C) and two content paths (D → E → F, G → H → I) sharing no node. Every transit leg is padded to a size drawn uniformly from 420–460 bytes; the gatekeeper fan-out uses its own larger class (820–860 bytes). </w:t>
      </w:r>
      <w:r>
        <w:t xml:space="preserve">Sixty decoy transactions from registered decoy identities are in flight at every real-traffic level; each is a genuine transaction, approved and finalized like any real one, and every adversary's candidate pool includes the decoy identities, since no vantage can distinguish them.</w:t>
      </w:r>
      <w:r>
        <w:t xml:space="preserve"> The run draws all nine nodes distinct and </w:t>
      </w:r>
      <w:r>
        <w:t xml:space="preserve">applies no jurisdiction filter and no skew of F and I.</w:t>
      </w:r>
      <w:r>
        <w:t xml:space="preserve"> The reference routing design (Section 5) </w:t>
      </w:r>
      <w:r>
        <w:t xml:space="preserve">guarantees only that the first hops differ from one another, that the destinations differ from one another, and that the nodes of one path differ, so a random hop may coincide with another path’s random hop, first hop or destination, and a first hop may coincide with another path’s destination.</w:t>
      </w:r>
      <w:r>
        <w:t xml:space="preserve"> The run does not test this, and </w:t>
      </w:r>
      <w:r>
        <w:t xml:space="preserve">it does not model the first-hop or validator jurisdiction filters or the skew of F and I toward the validator’s code.</w:t>
      </w:r>
      <w:r>
        <w:t xml:space="preserve"> The first-hop vantage holds its own keys and timing. </w:t>
      </w:r>
      <w:r>
        <w:t xml:space="preserve">It is not given the identity of the destination behind a routing code, and the run does not model the grouping of routing codes by shared destination.</w:t>
      </w:r>
    </w:p>
    <w:p>
      <w:pPr>
        <w:pStyle w:val="BodyText"/>
      </w:pPr>
      <w:r>
        <w:t xml:space="preserve">Each vantage scores every candidate — real device submissions on the wire, grouped into captures, with decoy identity submissions included — by the likelihood of the observed record time given that candidate, using likelihoods built by Monte Carlo simulation on independent seeds. The vantage with the highest summed posterior names the device. Every vantage is compared with a passive observer on the same records.</w:t>
      </w:r>
    </w:p>
    <w:p>
      <w:pPr>
        <w:pStyle w:val="BodyText"/>
      </w:pPr>
      <w:r>
        <w:t xml:space="preserve">Results are reported at R = 1, 20, and 100 real transactions in flight, each with 60 decoys. The mean capture-to-finalization latency under this configuration is 1,034 seconds. Two hundred runs per cell were completed; every cell produced at least 50 correct and 50 incorrect decisions per vantage.</w:t>
      </w:r>
    </w:p>
    <w:p>
      <w:pPr>
        <w:pStyle w:val="Heading2"/>
      </w:pPr>
      <w:r>
        <w:rPr>
          <w:b/>
          <w:bCs/>
        </w:rPr>
        <w:t xml:space="preserve">D.3 Results</w:t>
      </w:r>
    </w:p>
    <w:p>
      <w:pPr>
        <w:pStyle w:val="BodyText"/>
      </w:pPr>
      <w:r>
        <w:t xml:space="preserve">Per-cell device-naming accuracy and lead over the passive observer for all seven vantages, at R = 1 (the primary operating point) and R = 20 for comparison, are in the companion repository (Appendix D.1); this section reports the results the argument rests on.</w:t>
      </w:r>
    </w:p>
    <w:p>
      <w:pPr>
        <w:pStyle w:val="BodyText"/>
      </w:pPr>
      <w:r>
        <w:t xml:space="preserve">No component’s point estimate exceeds the passive observer’s by more than a quarter of a point at any tested volume,</w:t>
      </w:r>
      <w:r>
        <w:t xml:space="preserve"> a margin we treat as effectively indistinguishable from it. The largest lead is the content server’s at R = 100 (+0.24 points [+0.18, +0.30]), the only lead whose interval lies above zero, and it reflects the content server’s direct knowledge of content arrival time.</w:t>
      </w:r>
      <w:r>
        <w:t xml:space="preserve"> The upper end of that interval is 0.30, so a quarter of a point describes point estimates and is not a bound.</w:t>
      </w:r>
      <w:r>
        <w:t xml:space="preserve"> The validator, which knows device identity exactly, sits at or below the observer at every volume (−0.40 points at R = 1 [−0.79, −0.05]), because its feasible candidate set is smaller than the observer’s by construction.</w:t>
      </w:r>
    </w:p>
    <w:p>
      <w:pPr>
        <w:pStyle w:val="BodyText"/>
      </w:pPr>
      <w:r>
        <w:t xml:space="preserve">Every component, the observer included, names the device about 4 to 5 times as often as a guess among the devices that could have produced the record (the observer reaches 4.9× at R = 1 and 4.5× at R = 100). This ratio reflects timing structure along the relay path that no tested setting removes. Role-aware holds are the dominant mechanism: without them the validator leads the observer by 2.0 points at R = 1 (Appendix D.5).</w:t>
      </w:r>
    </w:p>
    <w:p>
      <w:pPr>
        <w:pStyle w:val="Heading2"/>
      </w:pPr>
      <w:r>
        <w:rPr>
          <w:b/>
          <w:bCs/>
        </w:rPr>
        <w:t xml:space="preserve">D.4 Confidence Analysis</w:t>
      </w:r>
    </w:p>
    <w:p>
      <w:pPr>
        <w:pStyle w:val="BodyText"/>
      </w:pPr>
      <w:r>
        <w:t xml:space="preserve">No vantage can identify which of its guesses are correct at any tested volume. The upper bound of the 95% interval on each vantage's top-1% most-confident guesses stays below 50% in every cell. Fewer than 0.1% of any vantage's guesses fall in a group that is right more than half the time. A vantage that passes this criterion cannot select any subset of its own decisions and be right about most of them; the credential processor, first hops, and gatekeeper pass with no qualifying decisions at all at R = 1.</w:t>
      </w:r>
    </w:p>
    <w:p>
      <w:pPr>
        <w:pStyle w:val="Heading2"/>
      </w:pPr>
      <w:r>
        <w:rPr>
          <w:b/>
          <w:bCs/>
        </w:rPr>
        <w:t xml:space="preserve">D.5 Mechanism Attribution</w:t>
      </w:r>
    </w:p>
    <w:p>
      <w:pPr>
        <w:pStyle w:val="BodyText"/>
      </w:pPr>
      <w:r>
        <w:t xml:space="preserve">Removing role-aware holds (device content channels and F/I pre-match hold at 120 s rather than 240 s) </w:t>
      </w:r>
      <w:r>
        <w:t xml:space="preserve">raises the validator’s accuracy at R = 1 from 9.5% to 12.6% and the observer’s from 9.9% to 10.6%, moving the validator from 0.4 points below the observer to 2.0 points above it.</w:t>
      </w:r>
      <w:r>
        <w:t xml:space="preserve"> The remaining mechanisms—C's and V's holds, the departure-bundle inclusion lottery, the post-match lottery, and registry bundling—</w:t>
      </w:r>
      <w:r>
        <w:t xml:space="preserve">each change the observer’s accuracy by 0.1 points or less when removed alone; removing all five raises it by 1.5 points, about twice the effect of the role-aware holds alone.</w:t>
      </w:r>
      <w:r>
        <w:t xml:space="preserve"> </w:t>
      </w:r>
      <w:r>
        <w:t xml:space="preserve">Their primary functions are distinct from correlation resistance; for example, without the post-match lottery 21.6% of record pairs from F and I submit within 5 seconds, against 3.9% with it.</w:t>
      </w:r>
      <w:r>
        <w:t xml:space="preserve"> The gatekeeper fan-out size class (Section 3.2) and the gatekeeper’s own hold (Section 3.3) were not removed in any build.</w:t>
      </w:r>
    </w:p>
    <w:sectPr>
      <w:footerReference w:type="default" r:id="rId20"/>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zoom w:percent="100"/>
  <w:embedSystemFonts/>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20"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Sam Ryan</dc:creator>
  <dc:description/>
  <dc:language>en-US</dc:language>
  <cp:lastModifiedBy/>
  <dcterms:modified xsi:type="dcterms:W3CDTF">2026-10-10T06:08:18Z</dcterms:modified>
  <cp:revision>1</cp:revision>
  <dc:subject/>
  <dc:title>The Birthmark Protocol: Achieving Semantic Non-Assembly in Media Provenance</dc:title>
</cp:coreProperties>
</file>

<file path=docProps/custom.xml><?xml version="1.0" encoding="utf-8"?>
<Properties xmlns="http://schemas.openxmlformats.org/officeDocument/2006/custom-properties" xmlns:vt="http://schemas.openxmlformats.org/officeDocument/2006/docPropsVTypes"/>
</file>