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true"/>
        <w:keepLines/>
        <w:spacing w:before="480" w:after="240"/>
        <w:jc w:val="center"/>
        <w:rPr/>
      </w:pPr>
      <w:r>
        <w:rPr/>
        <w:t>Sorun Oturumu 1</w:t>
      </w:r>
    </w:p>
    <w:p>
      <w:pPr>
        <w:pStyle w:val="Date"/>
        <w:rPr/>
      </w:pPr>
      <w:r>
        <w:rPr/>
      </w:r>
    </w:p>
    <w:p>
      <w:pPr>
        <w:pStyle w:val="Heading1"/>
        <w:rPr/>
      </w:pPr>
      <w:r>
        <w:rPr/>
        <w:t>Soru 1 - Veri Tipleri - 10 puan</w:t>
      </w:r>
    </w:p>
    <w:p>
      <w:pPr>
        <w:pStyle w:val="FirstParagraph"/>
        <w:rPr/>
      </w:pPr>
      <w:r>
        <w:rPr/>
        <w:t xml:space="preserve">Aşağıdaki Java ifadeleri neyi değerlendirir? Bir ifade derlenmez veya çalışma zamanında bir istisna oluşturursa, her iki sütuna da </w:t>
      </w:r>
      <w:r>
        <w:rPr>
          <w:b/>
          <w:bCs/>
        </w:rPr>
        <w:t>X</w:t>
      </w:r>
      <w:r>
        <w:rPr/>
        <w:t xml:space="preserve"> koyun.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4920"/>
        <w:gridCol w:w="1530"/>
        <w:gridCol w:w="1470"/>
      </w:tblGrid>
      <w:tr>
        <w:trPr>
          <w:tblHeader w:val="true"/>
        </w:trPr>
        <w:tc>
          <w:tcPr>
            <w:tcW w:w="492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  <w:tc>
          <w:tcPr>
            <w:tcW w:w="153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Değer</w:t>
            </w:r>
          </w:p>
        </w:tc>
        <w:tc>
          <w:tcPr>
            <w:tcW w:w="147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Tür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String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"1"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“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112”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Integer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parseInt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||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10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0.1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1.2e6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%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1.2e5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&lt;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min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1.2e6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1.2e7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1.2e8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&amp;&amp;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&gt;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X</w:t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92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!!!!!!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53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147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boolean</w:t>
            </w:r>
            <w:bookmarkStart w:id="0" w:name="soru-1---veri-tipleri---10-puan"/>
            <w:bookmarkEnd w:id="0"/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Soru 2 - Diziler - 10 puan</w:t>
      </w:r>
    </w:p>
    <w:p>
      <w:pPr>
        <w:pStyle w:val="FirstParagraph"/>
        <w:rPr/>
      </w:pPr>
      <w:r>
        <w:rPr/>
        <w:t>Aşağıdaki Java kod parçasını düşünün.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};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b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</w:t>
      </w:r>
      <w:r>
        <w:rPr>
          <w:rStyle w:val="OperatorTok"/>
        </w:rPr>
        <w:t>;</w:t>
      </w:r>
      <w:r>
        <w:rPr/>
        <w:b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];</w:t>
      </w:r>
      <w:r>
        <w:rPr/>
        <w:br/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c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]];</w:t>
      </w:r>
    </w:p>
    <w:p>
      <w:pPr>
        <w:pStyle w:val="FirstParagraph"/>
        <w:rPr/>
      </w:pPr>
      <w:r>
        <w:rPr/>
        <w:t xml:space="preserve">Yukarıdaki kod parçası çalıştırıldıktan sonra </w:t>
      </w:r>
      <w:r>
        <w:rPr>
          <w:rStyle w:val="NormalTok"/>
        </w:rPr>
        <w:t>b</w:t>
      </w:r>
      <w:r>
        <w:rPr>
          <w:rStyle w:val="OperatorTok"/>
        </w:rPr>
        <w:t>[]</w:t>
      </w:r>
      <w:r>
        <w:rPr/>
        <w:t xml:space="preserve"> ve </w:t>
      </w:r>
      <w:r>
        <w:rPr>
          <w:rStyle w:val="NormalTok"/>
        </w:rPr>
        <w:t>c</w:t>
      </w:r>
      <w:r>
        <w:rPr>
          <w:rStyle w:val="OperatorTok"/>
        </w:rPr>
        <w:t>[]</w:t>
      </w:r>
      <w:r>
        <w:rPr/>
        <w:t xml:space="preserve"> dizilerindeki elemanların değerleri nedir? Cevaplarınızı aşağıdaki boşluğa yazın.</w:t>
      </w:r>
    </w:p>
    <w:p>
      <w:pPr>
        <w:pStyle w:val="BodyText"/>
        <w:rPr/>
      </w:pPr>
      <w:r>
        <w:rPr>
          <w:rStyle w:val="NormalTok"/>
        </w:rPr>
        <w:t>a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>
      <w:pPr>
        <w:pStyle w:val="BodyText"/>
        <w:rPr/>
      </w:pPr>
      <w:r>
        <w:rPr>
          <w:rStyle w:val="NormalTok"/>
        </w:rPr>
        <w:t>b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>
      <w:pPr>
        <w:pStyle w:val="BodyText"/>
        <w:rPr/>
      </w:pPr>
      <w:r>
        <w:rPr>
          <w:rStyle w:val="NormalTok"/>
        </w:rPr>
        <w:t>c</w:t>
      </w:r>
      <w:r>
        <w:rPr>
          <w:rStyle w:val="OperatorTok"/>
        </w:rPr>
        <w:t>[]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</w:p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Soru 3 - Diziler - 10 puan (Cevaplar doğrulanmamış)</w:t>
      </w:r>
    </w:p>
    <w:p>
      <w:pPr>
        <w:pStyle w:val="FirstParagraph"/>
        <w:rPr/>
      </w:pPr>
      <w:r>
        <w:rPr/>
        <w:t>Aşağıdaki ifadelerin her biri doğru mu yoksa yanlış mı belirleyin. Herhangi bir dizin sınırlarının dışında olmayacağını varsayın. Her satıra “true” veya “false” yazın.</w:t>
      </w:r>
    </w:p>
    <w:p>
      <w:pPr>
        <w:pStyle w:val="BodyText"/>
        <w:rPr/>
      </w:pPr>
      <w:r>
        <w:rPr>
          <w:b/>
          <w:bCs/>
        </w:rPr>
        <w:t>Bölüm 8-11 için</w:t>
      </w:r>
      <w:r>
        <w:rPr/>
        <w:t>: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DecValTok"/>
        </w:rPr>
        <w:t>6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c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>c</w:t>
      </w:r>
      <w:r>
        <w:rPr>
          <w:rStyle w:val="OperatorTok"/>
        </w:rPr>
        <w:t>[</w:t>
      </w:r>
      <w:r>
        <w:rPr>
          <w:rStyle w:val="DecValTok"/>
        </w:rPr>
        <w:t>0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;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293"/>
        <w:gridCol w:w="1506"/>
      </w:tblGrid>
      <w:tr>
        <w:trPr>
          <w:tblHeader w:val="true"/>
        </w:trPr>
        <w:tc>
          <w:tcPr>
            <w:tcW w:w="9293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  <w:tc>
          <w:tcPr>
            <w:tcW w:w="150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Doğru mu yoksa Yanlış mı?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1. Bir tamsayılar dizisinin her elemanı 0’a başlatılır.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3. Bir boolean dizisinin her elemanı true olarak başlatılır.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4. N-1, N boyutundaki bir dizinin son geçerli dizini olarak kabul edilir.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5. Bir dizinin en küçük elemanının dizini 0’dır.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6. N-3, N boyutundaki bir dizinin üçüncü sıradan sonuncu elemanının dizinidir.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7.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Math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random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()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N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 boyutu N olan bir dizi için geçerli bir dizindir.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8.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anahtar kelimesini kullanmadan yeni bir dizi oluşturabilirsiniz.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9. Yukarıda tanımlanan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dizileri için,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değerini alır.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10. Yukarıda tanımlanan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dizileri için,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değerini alır.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11. Yukarıda tanımlanan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dizileri için,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değerini alır.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9293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12. Yukarıda tanımlanan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c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dizileri için,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]]]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0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değerini alır.</w:t>
            </w:r>
          </w:p>
        </w:tc>
        <w:tc>
          <w:tcPr>
            <w:tcW w:w="150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bookmarkStart w:id="1" w:name="X48cdc3eb0e6c4be85bdd731de91d8d2212ac9b0"/>
            <w:bookmarkEnd w:id="1"/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Soru 4 - Fonksiyonlar - 10 puan (Cevaplar doğrulanmamış)</w:t>
      </w:r>
    </w:p>
    <w:p>
      <w:pPr>
        <w:pStyle w:val="FirstParagraph"/>
        <w:rPr/>
      </w:pPr>
      <w:r>
        <w:rPr/>
        <w:t>Aşağıdaki ifadeler Java fonksiyonları (statik metotlar) için doğru mu yoksa yanlış mıdır? Her ifadeyi doğru veya yanlış olarak işaretleyin.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55"/>
        <w:gridCol w:w="900"/>
        <w:gridCol w:w="9045"/>
      </w:tblGrid>
      <w:tr>
        <w:trPr>
          <w:tblHeader w:val="true"/>
        </w:trPr>
        <w:tc>
          <w:tcPr>
            <w:tcW w:w="8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doğru</w:t>
            </w:r>
          </w:p>
        </w:tc>
        <w:tc>
          <w:tcPr>
            <w:tcW w:w="90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yanlış</w:t>
            </w:r>
          </w:p>
        </w:tc>
        <w:tc>
          <w:tcPr>
            <w:tcW w:w="904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Bir fonksiyon birden fazla argüman alabilir.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fonksiyonun dönüş türü olarak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kullanılabilir.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fonksiyon, yalnızca aynı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.java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dosyasında tanımlanmışsa başka fonksiyonları çağırabilir.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Aynı </w:t>
            </w:r>
            <w:r>
              <w:rPr>
                <w:rStyle w:val="VerbatimChar"/>
                <w:rFonts w:eastAsia="Cambria" w:cs=""/>
                <w:kern w:val="0"/>
                <w:szCs w:val="24"/>
                <w:lang w:val="en-US" w:eastAsia="en-US" w:bidi="ar-SA"/>
              </w:rPr>
              <w:t>.java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dosyasında tanımlanan iki fonksiyonun, farklı sayıda argümanları varsa, aynı ismialması mümkündür.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0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4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Bir fonksiyona bir dizi (referansı) argüman olarak geçirirseniz, fonksiyon sadece dizinin girdilerini okuyamaz, aynı zamanda bunları değiştirebilir.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Soru 5 - Fonksiyonlar - 10 puan</w:t>
      </w:r>
    </w:p>
    <w:p>
      <w:pPr>
        <w:pStyle w:val="FirstParagraph"/>
        <w:rPr/>
      </w:pPr>
      <w:r>
        <w:rPr/>
        <w:t>Aşağıdaki fonksiyonlar her biri neyi döndürür? Tabloyu doldurun.</w:t>
      </w:r>
    </w:p>
    <w:p>
      <w:pPr>
        <w:pStyle w:val="BodyText"/>
        <w:rPr/>
      </w:pP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 ve </w:t>
      </w:r>
      <w:r>
        <w:rPr>
          <w:rStyle w:val="VerbatimChar"/>
        </w:rPr>
        <w:t>z</w:t>
      </w:r>
      <w:r>
        <w:rPr/>
        <w:t xml:space="preserve"> dizilerinin aşağıdaki gibi tanımlandığını varsayalım:</w:t>
      </w:r>
    </w:p>
    <w:p>
      <w:pPr>
        <w:pStyle w:val="SourceCode"/>
        <w:rPr/>
      </w:pP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DecValTok"/>
        </w:rPr>
        <w:t>5</w:t>
      </w:r>
      <w:r>
        <w:rPr>
          <w:rStyle w:val="OperatorTok"/>
        </w:rPr>
        <w:t>];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6</w:t>
      </w:r>
      <w:r>
        <w:rPr>
          <w:rStyle w:val="OperatorTok"/>
        </w:rPr>
        <w:t>};</w:t>
      </w:r>
      <w:r>
        <w:rPr/>
        <w:br/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z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{-</w:t>
      </w:r>
      <w:r>
        <w:rPr>
          <w:rStyle w:val="DecValTok"/>
        </w:rPr>
        <w:t>10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};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t </w:t>
      </w:r>
      <w:r>
        <w:rPr>
          <w:rStyle w:val="OperatorTok"/>
        </w:rPr>
        <w:t>+=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t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9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</w:tr>
    </w:tbl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[</w:t>
      </w:r>
      <w:r>
        <w:rPr>
          <w:rStyle w:val="NormalTok"/>
        </w:rPr>
        <w:t>n</w:t>
      </w:r>
      <w:r>
        <w:rPr>
          <w:rStyle w:val="OperatorTok"/>
        </w:rPr>
        <w:t>-</w:t>
      </w:r>
      <w:r>
        <w:rPr>
          <w:rStyle w:val="NormalTok"/>
        </w:rPr>
        <w:t>i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g(z)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14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20</w:t>
            </w:r>
          </w:p>
        </w:tc>
      </w:tr>
    </w:tbl>
    <w:p>
      <w:pPr>
        <w:pStyle w:val="BodyText"/>
        <w:rPr/>
      </w:pPr>
      <w:r>
        <w:rPr>
          <w:b/>
          <w:bCs/>
        </w:rPr>
        <w:t>NOT</w:t>
      </w:r>
      <w:r>
        <w:rPr/>
        <w:t xml:space="preserve">: </w:t>
      </w:r>
      <w:r>
        <w:rPr>
          <w:rStyle w:val="VerbatimChar"/>
        </w:rPr>
        <w:t>x</w:t>
      </w:r>
      <w:r>
        <w:rPr/>
        <w:t xml:space="preserve">, </w:t>
      </w:r>
      <w:r>
        <w:rPr>
          <w:rStyle w:val="VerbatimChar"/>
        </w:rPr>
        <w:t>y</w:t>
      </w:r>
      <w:r>
        <w:rPr/>
        <w:t xml:space="preserve"> ve </w:t>
      </w:r>
      <w:r>
        <w:rPr>
          <w:rStyle w:val="VerbatimChar"/>
        </w:rPr>
        <w:t>z</w:t>
      </w:r>
      <w:r>
        <w:rPr/>
        <w:t xml:space="preserve"> dizileri, </w:t>
      </w:r>
      <w:r>
        <w:rPr>
          <w:rStyle w:val="FunctionTok"/>
        </w:rPr>
        <w:t>h</w:t>
      </w:r>
      <w:r>
        <w:rPr>
          <w:rStyle w:val="OperatorTok"/>
        </w:rPr>
        <w:t>()</w:t>
      </w:r>
      <w:r>
        <w:rPr/>
        <w:t xml:space="preserve"> çağrılmadan önce orijinal değerlerine sıfırlanır.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</w:t>
      </w:r>
      <w:r>
        <w:rPr>
          <w:rStyle w:val="FunctionTok"/>
        </w:rPr>
        <w:t>h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n </w:t>
      </w:r>
      <w:r>
        <w:rPr>
          <w:rStyle w:val="OperatorTok"/>
        </w:rPr>
        <w:t>=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n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OperatorTok"/>
        </w:rPr>
        <w:t>(</w:t>
      </w:r>
      <w:r>
        <w:rPr>
          <w:rStyle w:val="NormalTok"/>
        </w:rPr>
        <w:t>a</w:t>
      </w:r>
      <w:r>
        <w:rPr>
          <w:rStyle w:val="OperatorTok"/>
        </w:rPr>
        <w:t>);</w:t>
      </w:r>
      <w:r>
        <w:rPr/>
        <w:br/>
      </w:r>
      <w:r>
        <w:rPr>
          <w:rStyle w:val="OperatorTok"/>
        </w:rPr>
        <w:t>}</w:t>
      </w:r>
    </w:p>
    <w:tbl>
      <w:tblPr>
        <w:tblStyle w:val="Table"/>
        <w:tblW w:w="792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2640"/>
        <w:gridCol w:w="2640"/>
        <w:gridCol w:w="2640"/>
      </w:tblGrid>
      <w:tr>
        <w:trPr>
          <w:tblHeader w:val="true"/>
        </w:trPr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h(x)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h(y)</w:t>
            </w:r>
          </w:p>
        </w:tc>
        <w:tc>
          <w:tcPr>
            <w:tcW w:w="26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h(z)</w:t>
            </w:r>
          </w:p>
        </w:tc>
      </w:tr>
      <w:tr>
        <w:trPr/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58</w:t>
            </w:r>
          </w:p>
        </w:tc>
        <w:tc>
          <w:tcPr>
            <w:tcW w:w="26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30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Soru 6 - Diziler - 10 puan (Cevaplar doğrulanmamış)</w:t>
      </w:r>
    </w:p>
    <w:p>
      <w:pPr>
        <w:pStyle w:val="FirstParagraph"/>
        <w:rPr/>
      </w:pPr>
      <w:r>
        <w:rPr/>
        <w:t>Aşağıdaki Java dizilerinin özelliklerinden hangileri doğrudur?</w:t>
      </w:r>
    </w:p>
    <w:p>
      <w:pPr>
        <w:pStyle w:val="BodyText"/>
        <w:rPr/>
      </w:pPr>
      <w:r>
        <w:rPr/>
        <w:t>Tabloyu doldurarak her ifadeyi doğru veya yanlış olarak işaretleyin.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757"/>
        <w:gridCol w:w="946"/>
        <w:gridCol w:w="9097"/>
      </w:tblGrid>
      <w:tr>
        <w:trPr>
          <w:tblHeader w:val="true"/>
        </w:trPr>
        <w:tc>
          <w:tcPr>
            <w:tcW w:w="75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doğru</w:t>
            </w:r>
          </w:p>
        </w:tc>
        <w:tc>
          <w:tcPr>
            <w:tcW w:w="946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yanlış</w:t>
            </w:r>
          </w:p>
        </w:tc>
        <w:tc>
          <w:tcPr>
            <w:tcW w:w="9097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dizisi oluşturup başlatıldıktan sonra, uzunluğunu değiştiremezsiniz.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Eğer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uzunluğu 10 olan 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char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dizisi ise,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Float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0.0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ifadesi, ilk elemanını veren geçerli bir ifadedir.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new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anahtar kelimesini kullanmadan bir 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dizisi tanımlamak, oluşturmak ve başlatmak mümkündür.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iki farklı diziyse ve aynı tür ve uzunluğa sahipse,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b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ifadesi, karşılık gelen dizi elemanları eşitse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değerini verir, aksi halde </w:t>
            </w:r>
            <w:r>
              <w:rPr>
                <w:rStyle w:val="Keyword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false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dizisinin elemanları bilgisayarın belleğine (yani, ardışık bellek konumlarına) depolanır.</w:t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75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946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097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türünde iki boyutlu bir dizi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[][]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oluşturup başlatmak mümkündür, bu dizi için 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length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!=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].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length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 olacak şekilde.</w:t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Soru 7 - Fonksiyonlar, diziler ve geç-kopyalama - 5 puan (Herhangi bir cevap sağlanmamış)</w:t>
      </w:r>
    </w:p>
    <w:p>
      <w:pPr>
        <w:pStyle w:val="FirstParagraph"/>
        <w:rPr/>
      </w:pPr>
      <w:r>
        <w:rPr/>
        <w:t>Aşağıdaki iki fonksiyonu düşünün, bunlar bir tamsayı dizisindeki değerleri tersine çevirmeyi amaçlar:</w:t>
      </w:r>
    </w:p>
    <w:p>
      <w:pPr>
        <w:pStyle w:val="SourceCode"/>
        <w:rPr/>
      </w:pP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negate1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OperatorTok"/>
        </w:rPr>
        <w:t>}</w:t>
      </w:r>
      <w:r>
        <w:rPr/>
        <w:br/>
        <w:br/>
      </w:r>
      <w:r>
        <w:rPr>
          <w:rStyle w:val="KeywordTok"/>
        </w:rPr>
        <w:t>public</w:t>
      </w:r>
      <w:r>
        <w:rPr>
          <w:rStyle w:val="NormalTok"/>
        </w:rPr>
        <w:t xml:space="preserve"> </w:t>
      </w:r>
      <w:r>
        <w:rPr>
          <w:rStyle w:val="DataTypeTok"/>
        </w:rPr>
        <w:t>static</w:t>
      </w:r>
      <w:r>
        <w:rPr>
          <w:rStyle w:val="NormalTok"/>
        </w:rPr>
        <w:t xml:space="preserve"> </w:t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r>
        <w:rPr>
          <w:rStyle w:val="FunctionTok"/>
        </w:rPr>
        <w:t>negate2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a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/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OperatorTok"/>
        </w:rPr>
        <w:t>[]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new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[</w:t>
      </w:r>
      <w:r>
        <w:rPr>
          <w:rStyle w:val="NormalTok"/>
        </w:rPr>
        <w:t>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i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;</w:t>
      </w:r>
      <w:r>
        <w:rPr>
          <w:rStyle w:val="NormalTok"/>
        </w:rPr>
        <w:t xml:space="preserve"> i </w:t>
      </w:r>
      <w:r>
        <w:rPr>
          <w:rStyle w:val="OperatorTok"/>
        </w:rPr>
        <w:t>&lt;</w:t>
      </w:r>
      <w:r>
        <w:rPr>
          <w:rStyle w:val="NormalTok"/>
        </w:rPr>
        <w:t xml:space="preserve"> a</w:t>
      </w:r>
      <w:r>
        <w:rPr>
          <w:rStyle w:val="OperatorTok"/>
        </w:rPr>
        <w:t>.</w:t>
      </w:r>
      <w:r>
        <w:rPr>
          <w:rStyle w:val="FunctionTok"/>
        </w:rPr>
        <w:t>length</w:t>
      </w:r>
      <w:r>
        <w:rPr>
          <w:rStyle w:val="OperatorTok"/>
        </w:rPr>
        <w:t>;</w:t>
      </w:r>
      <w:r>
        <w:rPr>
          <w:rStyle w:val="NormalTok"/>
        </w:rPr>
        <w:t xml:space="preserve"> i</w:t>
      </w:r>
      <w:r>
        <w:rPr>
          <w:rStyle w:val="OperatorTok"/>
        </w:rPr>
        <w:t>++)</w:t>
      </w:r>
      <w:r>
        <w:rPr/>
        <w:br/>
      </w:r>
      <w:r>
        <w:rPr>
          <w:rStyle w:val="NormalTok"/>
        </w:rPr>
        <w:t xml:space="preserve">        b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NormalTok"/>
        </w:rPr>
        <w:t>a</w:t>
      </w:r>
      <w:r>
        <w:rPr>
          <w:rStyle w:val="OperatorTok"/>
        </w:rPr>
        <w:t>[</w:t>
      </w:r>
      <w:r>
        <w:rPr>
          <w:rStyle w:val="NormalTok"/>
        </w:rPr>
        <w:t>i</w:t>
      </w:r>
      <w:r>
        <w:rPr>
          <w:rStyle w:val="OperatorTok"/>
        </w:rPr>
        <w:t>];</w:t>
      </w:r>
      <w:r>
        <w:rPr/>
        <w:br/>
      </w:r>
      <w:r>
        <w:rPr>
          <w:rStyle w:val="NormalTok"/>
        </w:rPr>
        <w:t xml:space="preserve">    a </w:t>
      </w:r>
      <w:r>
        <w:rPr>
          <w:rStyle w:val="OperatorTok"/>
        </w:rPr>
        <w:t>=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b</w:t>
      </w:r>
      <w:r>
        <w:rPr>
          <w:rStyle w:val="OperatorTok"/>
        </w:rPr>
        <w:t>;</w:t>
      </w:r>
      <w:r>
        <w:rPr/>
        <w:br/>
      </w:r>
      <w:r>
        <w:rPr>
          <w:rStyle w:val="OperatorTok"/>
        </w:rPr>
        <w:t>}</w:t>
      </w:r>
    </w:p>
    <w:p>
      <w:pPr>
        <w:pStyle w:val="FirstParagraph"/>
        <w:rPr/>
      </w:pPr>
      <w:r>
        <w:rPr>
          <w:rStyle w:val="NormalTok"/>
        </w:rPr>
        <w:t>main</w:t>
      </w:r>
      <w:r>
        <w:rPr/>
        <w:t xml:space="preserve"> içindeki bir tamsayı dizisi </w:t>
      </w:r>
      <w:r>
        <w:rPr>
          <w:rStyle w:val="NormalTok"/>
        </w:rPr>
        <w:t>a</w:t>
      </w:r>
      <w:r>
        <w:rPr>
          <w:rStyle w:val="OperatorTok"/>
        </w:rPr>
        <w:t>[]</w:t>
      </w:r>
      <w:r>
        <w:rPr/>
        <w:t xml:space="preserve"> düşünün ve içeriği </w:t>
      </w:r>
      <w:r>
        <w:rPr>
          <w:rStyle w:val="OperatorTok"/>
        </w:rPr>
        <w:t>[</w:t>
      </w:r>
      <w:r>
        <w:rPr>
          <w:rStyle w:val="DecValTok"/>
        </w:rPr>
        <w:t>1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]</w:t>
      </w:r>
      <w:r>
        <w:rPr/>
        <w:t xml:space="preserve"> olan bir dizi olarak başlatılsın. Aşağıdaki ifadeleri gerçekleştirdikten sonra </w:t>
      </w:r>
      <w:r>
        <w:rPr>
          <w:rStyle w:val="NormalTok"/>
        </w:rPr>
        <w:t>a</w:t>
      </w:r>
      <w:r>
        <w:rPr>
          <w:rStyle w:val="OperatorTok"/>
        </w:rPr>
        <w:t>[]</w:t>
      </w:r>
      <w:r>
        <w:rPr/>
        <w:t xml:space="preserve"> tarafından referans edilen dizideki içerik nedir? Her bir parça için ayrı ayrı cevap verin.</w:t>
      </w:r>
    </w:p>
    <w:p>
      <w:pPr>
        <w:pStyle w:val="BodyText"/>
        <w:rPr/>
      </w:pPr>
      <w:r>
        <w:rPr/>
        <w:t>Soldaki her ifade için, sağdaki açıklamanın en iyi eşleşen harfini yazın. Her harfi bir kez, birden fazla kez veya hiç kullanabilirsiniz.</w:t>
      </w:r>
    </w:p>
    <w:tbl>
      <w:tblPr>
        <w:tblStyle w:val="Table"/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5955"/>
        <w:gridCol w:w="4844"/>
      </w:tblGrid>
      <w:tr>
        <w:trPr>
          <w:tblHeader w:val="true"/>
        </w:trPr>
        <w:tc>
          <w:tcPr>
            <w:tcW w:w="59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  <w:tc>
          <w:tcPr>
            <w:tcW w:w="484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Açıklama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3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);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C.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[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,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DecV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0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]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negate1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));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D. derleme zamanı hatası veya çalışma zamanı istisnası</w:t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59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____ 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a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=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Functio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negate2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(</w:t>
            </w:r>
            <w:r>
              <w:rPr>
                <w:rStyle w:val="Normal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a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)));</w:t>
            </w:r>
          </w:p>
        </w:tc>
        <w:tc>
          <w:tcPr>
            <w:tcW w:w="4844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Heading1"/>
        <w:rPr/>
      </w:pPr>
      <w:r>
        <w:rPr/>
      </w:r>
      <w:r>
        <w:br w:type="page"/>
      </w:r>
    </w:p>
    <w:p>
      <w:pPr>
        <w:pStyle w:val="Heading1"/>
        <w:rPr/>
      </w:pPr>
      <w:r>
        <w:rPr/>
        <w:t>Soru 8 - Türlerin, değişkenlerin ve ifadelerin özellikleri - 5 puan (Cevaplar doğrulanmamış)</w:t>
      </w:r>
    </w:p>
    <w:p>
      <w:pPr>
        <w:pStyle w:val="FirstParagraph"/>
        <w:rPr/>
      </w:pPr>
      <w:r>
        <w:rPr/>
        <w:t>Java’da türlerin, değişkenlerin ve ifadelerin aşağıdaki özelliklerinden hangileri doğrudur?</w:t>
      </w:r>
    </w:p>
    <w:p>
      <w:pPr>
        <w:pStyle w:val="BodyText"/>
        <w:rPr/>
      </w:pPr>
      <w:r>
        <w:rPr/>
        <w:t>Her ifadeyi doğru veya yanlış olarak işaretleyerek tabloyu doldurun.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855"/>
        <w:gridCol w:w="840"/>
        <w:gridCol w:w="9105"/>
      </w:tblGrid>
      <w:tr>
        <w:trPr>
          <w:tblHeader w:val="true"/>
        </w:trPr>
        <w:tc>
          <w:tcPr>
            <w:tcW w:w="85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doğru</w:t>
            </w:r>
          </w:p>
        </w:tc>
        <w:tc>
          <w:tcPr>
            <w:tcW w:w="84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yanlış</w:t>
            </w:r>
          </w:p>
        </w:tc>
        <w:tc>
          <w:tcPr>
            <w:tcW w:w="910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İfade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Her değişkenin bir türü vardır (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veya </w:t>
            </w:r>
            <w:r>
              <w:rPr>
                <w:rStyle w:val="BuiltIn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String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gibi), bu tür derleme zamanında bilinir.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İki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operand üzerine bir aritmetik operatör (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+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*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, </w:t>
            </w:r>
            <w:r>
              <w:rPr>
                <w:rStyle w:val="Operator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/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) uygulandığında, sonuç her zaman 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double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türünden oluşur (ve hiçbir zaman çalışma zamanı istisnası üretmez).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</w:t>
            </w:r>
            <w:r>
              <w:rPr>
                <w:rStyle w:val="DataType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int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türündeki bir yerel değişkeni henüz değeri atanmadan önce bir ifadede kullanmaya çalışırsanız, Java bu değişken için 0 değerini yerleştirir.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Bir değişken bir </w:t>
            </w:r>
            <w:r>
              <w:rPr>
                <w:rStyle w:val="ControlFlowTok"/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for</w:t>
            </w: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 xml:space="preserve"> döngüsünün içinde tanımlanıp başlatılırsa, bu değişkene o döngünün dışından erişilemez.</w:t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85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true</w:t>
            </w:r>
          </w:p>
        </w:tc>
        <w:tc>
          <w:tcPr>
            <w:tcW w:w="84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</w:r>
          </w:p>
        </w:tc>
        <w:tc>
          <w:tcPr>
            <w:tcW w:w="9105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en-US" w:eastAsia="en-US" w:bidi="ar-SA"/>
              </w:rPr>
              <w:t>Bir değişkenin adını tüm büyük harflerle yazarsanız ve başlangıçta bir değer atanırsa, daha sonra değerini değiştirmeye çalışmak derleme zamanında bir hataya neden olur.</w:t>
            </w:r>
          </w:p>
        </w:tc>
      </w:tr>
    </w:tbl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BodyText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themeColor="accent1" w:val="4F81BD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themeColor="accent1" w:val="4F81BD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Hyperlink">
    <w:name w:val="Hyperlink"/>
    <w:basedOn w:val="BodyTextChar"/>
    <w:rPr>
      <w:color w:themeColor="accent1" w:val="4F81BD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8F5902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b/>
      <w:color w:val="CE5C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b/>
      <w:color w:val="204A87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204A87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irstParagraph" w:customStyle="1">
    <w:name w:val="First Paragraph"/>
    <w:basedOn w:val="BodyText"/>
    <w:next w:val="BodyText"/>
    <w:qFormat/>
    <w:pPr/>
    <w:rPr/>
  </w:style>
  <w:style w:type="paragraph" w:styleId="Compact" w:customStyle="1">
    <w:name w:val="Compact"/>
    <w:basedOn w:val="BodyText"/>
    <w:qFormat/>
    <w:pPr>
      <w:spacing w:before="36" w:after="36"/>
    </w:pPr>
    <w:rPr/>
  </w:style>
  <w:style w:type="paragraph" w:styleId="Title">
    <w:name w:val="Title"/>
    <w:basedOn w:val="Normal"/>
    <w:next w:val="BodyText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type="paragraph" w:styleId="Subtitle">
    <w:name w:val="Subtitle"/>
    <w:basedOn w:val="Title"/>
    <w:next w:val="BodyText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ate">
    <w:name w:val="Date"/>
    <w:next w:val="BodyText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AbstractTitle" w:customStyle="1">
    <w:name w:val="Abstract Title"/>
    <w:basedOn w:val="Normal"/>
    <w:next w:val="Abstract"/>
    <w:qFormat/>
    <w:pPr>
      <w:keepNext w:val="true"/>
      <w:keepLines/>
      <w:spacing w:before="300" w:after="0"/>
      <w:jc w:val="center"/>
    </w:pPr>
    <w:rPr>
      <w:b/>
      <w:color w:val="345A8A"/>
      <w:sz w:val="20"/>
      <w:szCs w:val="20"/>
    </w:rPr>
  </w:style>
  <w:style w:type="paragraph" w:styleId="Abstract" w:customStyle="1">
    <w:name w:val="Abstract"/>
    <w:basedOn w:val="Normal"/>
    <w:next w:val="BodyText"/>
    <w:qFormat/>
    <w:pPr>
      <w:keepNext w:val="true"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hanging="0" w:left="480" w:right="480"/>
    </w:pPr>
    <w:rPr/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FootnoteBlockText">
    <w:name w:val="Footnote Block Text"/>
    <w:uiPriority w:val="9"/>
    <w:unhideWhenUsed/>
    <w:qFormat/>
    <w:pPr>
      <w:widowControl/>
      <w:bidi w:val="0"/>
      <w:spacing w:before="100" w:after="100"/>
      <w:ind w:hanging="0" w:left="480" w:right="48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BodyText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themeColor="accent1" w:themeShade="bf" w:val="365F91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LibreOffice/24.2.0.3$Linux_X86_64 LibreOffice_project/420$Build-3</Application>
  <AppVersion>15.0000</AppVersion>
  <Pages>8</Pages>
  <Words>1085</Words>
  <Characters>5410</Characters>
  <CharactersWithSpaces>6444</CharactersWithSpaces>
  <Paragraphs>162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2024-02-19T04:12:33Z</dcterms:created>
  <dc:creator/>
  <dc:description/>
  <dc:language>en-US</dc:language>
  <cp:lastModifiedBy/>
  <dcterms:modified xsi:type="dcterms:W3CDTF">2024-02-19T04:16:19Z</dcterms:modified>
  <cp:revision>1</cp:revision>
  <dc:subject/>
  <dc:title>Sorun Oturumu 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