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000" w:type="dxa"/>
        <w:jc w:val="center"/>
        <w:tblInd w:w="288" w:type="dxa"/>
        <w:tblLayout w:type="fixed"/>
        <w:tblLook w:val="04A0" w:firstRow="1" w:lastRow="0" w:firstColumn="1" w:lastColumn="0" w:noHBand="0" w:noVBand="1"/>
      </w:tblPr>
      <w:tblGrid>
        <w:gridCol w:w="1800"/>
        <w:gridCol w:w="180"/>
        <w:gridCol w:w="2213"/>
        <w:gridCol w:w="3097"/>
        <w:gridCol w:w="1710"/>
      </w:tblGrid>
      <w:tr w:rsidR="004241FF" w14:paraId="50D52483" w14:textId="77777777">
        <w:trPr>
          <w:trHeight w:val="1142"/>
          <w:jc w:val="center"/>
        </w:trPr>
        <w:tc>
          <w:tcPr>
            <w:tcW w:w="1800" w:type="dxa"/>
            <w:vMerge w:val="restart"/>
            <w:tcBorders>
              <w:top w:val="nil"/>
              <w:left w:val="nil"/>
              <w:right w:val="nil"/>
            </w:tcBorders>
            <w:vAlign w:val="center"/>
          </w:tcPr>
          <w:p w14:paraId="629D0DA2" w14:textId="77777777" w:rsidR="004241FF" w:rsidRDefault="004241FF" w:rsidP="004241FF">
            <w:pPr>
              <w:tabs>
                <w:tab w:val="left" w:pos="360"/>
                <w:tab w:val="left" w:pos="7200"/>
                <w:tab w:val="right" w:pos="8640"/>
              </w:tabs>
              <w:rPr>
                <w:sz w:val="32"/>
                <w:szCs w:val="22"/>
              </w:rPr>
            </w:pPr>
            <w:r>
              <w:rPr>
                <w:noProof/>
                <w:sz w:val="32"/>
                <w:szCs w:val="22"/>
                <w:lang w:eastAsia="en-US"/>
              </w:rPr>
              <w:drawing>
                <wp:inline distT="0" distB="0" distL="0" distR="0" wp14:anchorId="1BAF619F" wp14:editId="3240D699">
                  <wp:extent cx="1133856" cy="1014095"/>
                  <wp:effectExtent l="0" t="0" r="9525" b="1905"/>
                  <wp:docPr id="3" name="Picture 3" descr="Ibest:DNA_SEQ_CORE:Pictures:iBestteeBack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best:DNA_SEQ_CORE:Pictures:iBestteeBack9-17.png"/>
                          <pic:cNvPicPr>
                            <a:picLocks noChangeAspect="1" noChangeArrowheads="1"/>
                          </pic:cNvPicPr>
                        </pic:nvPicPr>
                        <pic:blipFill rotWithShape="1">
                          <a:blip r:embed="rId9" cstate="print">
                            <a:extLst>
                              <a:ext uri="{28A0092B-C50C-407E-A947-70E740481C1C}">
                                <a14:useLocalDpi xmlns:a14="http://schemas.microsoft.com/office/drawing/2010/main"/>
                              </a:ext>
                            </a:extLst>
                          </a:blip>
                          <a:srcRect l="13769" r="-133"/>
                          <a:stretch/>
                        </pic:blipFill>
                        <pic:spPr bwMode="auto">
                          <a:xfrm>
                            <a:off x="0" y="0"/>
                            <a:ext cx="1135986" cy="101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490" w:type="dxa"/>
            <w:gridSpan w:val="3"/>
            <w:tcBorders>
              <w:top w:val="nil"/>
              <w:left w:val="nil"/>
              <w:bottom w:val="nil"/>
              <w:right w:val="nil"/>
            </w:tcBorders>
          </w:tcPr>
          <w:p w14:paraId="3E20FB42" w14:textId="77777777" w:rsidR="004241FF" w:rsidRPr="00AC5924" w:rsidRDefault="004241FF" w:rsidP="00204905">
            <w:pPr>
              <w:tabs>
                <w:tab w:val="left" w:pos="360"/>
                <w:tab w:val="left" w:pos="7200"/>
                <w:tab w:val="right" w:pos="8640"/>
              </w:tabs>
            </w:pPr>
            <w:r w:rsidRPr="00AC5924">
              <w:t xml:space="preserve">The </w:t>
            </w:r>
            <w:r w:rsidR="00B20801">
              <w:t>Institute</w:t>
            </w:r>
            <w:r w:rsidRPr="00AC5924">
              <w:t xml:space="preserve"> for</w:t>
            </w:r>
          </w:p>
          <w:p w14:paraId="1253F30A" w14:textId="77777777" w:rsidR="004241FF" w:rsidRDefault="004241FF" w:rsidP="00204905">
            <w:pPr>
              <w:tabs>
                <w:tab w:val="left" w:pos="360"/>
                <w:tab w:val="left" w:pos="7200"/>
                <w:tab w:val="right" w:pos="8640"/>
              </w:tabs>
              <w:rPr>
                <w:sz w:val="48"/>
                <w:szCs w:val="48"/>
              </w:rPr>
            </w:pPr>
            <w:r>
              <w:rPr>
                <w:sz w:val="48"/>
                <w:szCs w:val="48"/>
              </w:rPr>
              <w:t>Bioinformatics and</w:t>
            </w:r>
          </w:p>
          <w:p w14:paraId="399F74DD" w14:textId="77777777" w:rsidR="004241FF" w:rsidRPr="00AC5924" w:rsidRDefault="004241FF" w:rsidP="000A3869">
            <w:pPr>
              <w:tabs>
                <w:tab w:val="left" w:pos="360"/>
                <w:tab w:val="left" w:pos="7200"/>
                <w:tab w:val="right" w:pos="8640"/>
              </w:tabs>
              <w:jc w:val="right"/>
              <w:rPr>
                <w:sz w:val="48"/>
                <w:szCs w:val="48"/>
              </w:rPr>
            </w:pPr>
            <w:r w:rsidRPr="00AC5924">
              <w:rPr>
                <w:sz w:val="48"/>
                <w:szCs w:val="48"/>
              </w:rPr>
              <w:t>Evolutionary Studies</w:t>
            </w:r>
          </w:p>
        </w:tc>
        <w:tc>
          <w:tcPr>
            <w:tcW w:w="1710" w:type="dxa"/>
            <w:vMerge w:val="restart"/>
            <w:tcBorders>
              <w:top w:val="nil"/>
              <w:left w:val="nil"/>
              <w:right w:val="nil"/>
            </w:tcBorders>
            <w:vAlign w:val="center"/>
          </w:tcPr>
          <w:p w14:paraId="35531EE6" w14:textId="77777777" w:rsidR="004241FF" w:rsidRDefault="004241FF" w:rsidP="004241FF">
            <w:pPr>
              <w:tabs>
                <w:tab w:val="left" w:pos="360"/>
                <w:tab w:val="left" w:pos="7200"/>
                <w:tab w:val="right" w:pos="8640"/>
              </w:tabs>
              <w:jc w:val="right"/>
              <w:rPr>
                <w:sz w:val="32"/>
                <w:szCs w:val="22"/>
              </w:rPr>
            </w:pPr>
            <w:r>
              <w:rPr>
                <w:noProof/>
                <w:sz w:val="32"/>
                <w:szCs w:val="22"/>
                <w:lang w:eastAsia="en-US"/>
              </w:rPr>
              <w:drawing>
                <wp:inline distT="0" distB="0" distL="0" distR="0" wp14:anchorId="7C756A25" wp14:editId="3F7600FB">
                  <wp:extent cx="1003300" cy="1014984"/>
                  <wp:effectExtent l="0" t="0" r="0" b="1270"/>
                  <wp:docPr id="2" name="Picture 2" descr="Macintosh HD:Users:msettles:Downloads:02UI_Seal-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settles:Downloads:02UI_Seal-cmyk.jpg"/>
                          <pic:cNvPicPr>
                            <a:picLocks noChangeAspect="1" noChangeArrowheads="1"/>
                          </pic:cNvPicPr>
                        </pic:nvPicPr>
                        <pic:blipFill rotWithShape="1">
                          <a:blip r:embed="rId10" cstate="print">
                            <a:extLst>
                              <a:ext uri="{28A0092B-C50C-407E-A947-70E740481C1C}">
                                <a14:useLocalDpi xmlns:a14="http://schemas.microsoft.com/office/drawing/2010/main"/>
                              </a:ext>
                            </a:extLst>
                          </a:blip>
                          <a:srcRect t="576" b="-576"/>
                          <a:stretch/>
                        </pic:blipFill>
                        <pic:spPr bwMode="auto">
                          <a:xfrm>
                            <a:off x="0" y="0"/>
                            <a:ext cx="1003300" cy="101498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241FF" w14:paraId="68B35A55" w14:textId="77777777">
        <w:trPr>
          <w:trHeight w:val="371"/>
          <w:jc w:val="center"/>
        </w:trPr>
        <w:tc>
          <w:tcPr>
            <w:tcW w:w="1800" w:type="dxa"/>
            <w:vMerge/>
            <w:tcBorders>
              <w:left w:val="nil"/>
              <w:bottom w:val="double" w:sz="4" w:space="0" w:color="auto"/>
              <w:right w:val="nil"/>
            </w:tcBorders>
          </w:tcPr>
          <w:p w14:paraId="1BE68FF5" w14:textId="77777777" w:rsidR="004241FF" w:rsidRPr="00B42479" w:rsidRDefault="004241FF" w:rsidP="000A3869">
            <w:pPr>
              <w:tabs>
                <w:tab w:val="left" w:pos="360"/>
                <w:tab w:val="left" w:pos="7200"/>
                <w:tab w:val="right" w:pos="8640"/>
              </w:tabs>
              <w:jc w:val="center"/>
              <w:rPr>
                <w:b/>
                <w:sz w:val="28"/>
                <w:szCs w:val="28"/>
              </w:rPr>
            </w:pPr>
          </w:p>
        </w:tc>
        <w:tc>
          <w:tcPr>
            <w:tcW w:w="5490" w:type="dxa"/>
            <w:gridSpan w:val="3"/>
            <w:tcBorders>
              <w:top w:val="nil"/>
              <w:left w:val="nil"/>
              <w:bottom w:val="double" w:sz="4" w:space="0" w:color="auto"/>
              <w:right w:val="nil"/>
            </w:tcBorders>
          </w:tcPr>
          <w:p w14:paraId="772D5FB9" w14:textId="77777777" w:rsidR="004241FF" w:rsidRDefault="004241FF" w:rsidP="000A3869">
            <w:pPr>
              <w:tabs>
                <w:tab w:val="left" w:pos="360"/>
                <w:tab w:val="left" w:pos="7200"/>
                <w:tab w:val="right" w:pos="8640"/>
              </w:tabs>
              <w:jc w:val="center"/>
              <w:rPr>
                <w:b/>
              </w:rPr>
            </w:pPr>
            <w:r w:rsidRPr="00B42479">
              <w:rPr>
                <w:b/>
                <w:sz w:val="28"/>
                <w:szCs w:val="28"/>
              </w:rPr>
              <w:t>Genomics Resources Core Facility</w:t>
            </w:r>
          </w:p>
          <w:p w14:paraId="22BE457A" w14:textId="77777777" w:rsidR="004241FF" w:rsidRDefault="004241FF" w:rsidP="000A3869">
            <w:pPr>
              <w:tabs>
                <w:tab w:val="left" w:pos="360"/>
                <w:tab w:val="left" w:pos="7200"/>
                <w:tab w:val="right" w:pos="8640"/>
              </w:tabs>
              <w:jc w:val="center"/>
              <w:rPr>
                <w:b/>
              </w:rPr>
            </w:pPr>
            <w:r w:rsidRPr="00B42479">
              <w:rPr>
                <w:b/>
              </w:rPr>
              <w:t>Standard Operating Procedure</w:t>
            </w:r>
          </w:p>
          <w:p w14:paraId="787C2A2A" w14:textId="77777777" w:rsidR="004241FF" w:rsidRPr="00B42479" w:rsidRDefault="004241FF" w:rsidP="000A3869">
            <w:pPr>
              <w:tabs>
                <w:tab w:val="left" w:pos="360"/>
                <w:tab w:val="left" w:pos="7200"/>
                <w:tab w:val="right" w:pos="8640"/>
              </w:tabs>
              <w:jc w:val="center"/>
              <w:rPr>
                <w:b/>
              </w:rPr>
            </w:pPr>
          </w:p>
        </w:tc>
        <w:tc>
          <w:tcPr>
            <w:tcW w:w="1710" w:type="dxa"/>
            <w:vMerge/>
            <w:tcBorders>
              <w:left w:val="nil"/>
              <w:bottom w:val="double" w:sz="4" w:space="0" w:color="auto"/>
              <w:right w:val="nil"/>
            </w:tcBorders>
          </w:tcPr>
          <w:p w14:paraId="4E6A8D16" w14:textId="77777777" w:rsidR="004241FF" w:rsidRPr="00B42479" w:rsidRDefault="004241FF" w:rsidP="000A3869">
            <w:pPr>
              <w:tabs>
                <w:tab w:val="left" w:pos="360"/>
                <w:tab w:val="left" w:pos="7200"/>
                <w:tab w:val="right" w:pos="8640"/>
              </w:tabs>
              <w:jc w:val="center"/>
            </w:pPr>
          </w:p>
        </w:tc>
      </w:tr>
      <w:tr w:rsidR="00AC5924" w14:paraId="091771AD" w14:textId="77777777">
        <w:trPr>
          <w:trHeight w:val="420"/>
          <w:jc w:val="center"/>
        </w:trPr>
        <w:tc>
          <w:tcPr>
            <w:tcW w:w="9000" w:type="dxa"/>
            <w:gridSpan w:val="5"/>
            <w:tcBorders>
              <w:top w:val="double" w:sz="4" w:space="0" w:color="auto"/>
              <w:left w:val="double" w:sz="4" w:space="0" w:color="auto"/>
              <w:bottom w:val="nil"/>
              <w:right w:val="double" w:sz="4" w:space="0" w:color="auto"/>
            </w:tcBorders>
          </w:tcPr>
          <w:p w14:paraId="439D6ACF" w14:textId="77777777" w:rsidR="00AC5924" w:rsidRPr="000A3869" w:rsidRDefault="00AC5924" w:rsidP="00204905">
            <w:pPr>
              <w:tabs>
                <w:tab w:val="left" w:pos="360"/>
                <w:tab w:val="left" w:pos="7200"/>
                <w:tab w:val="right" w:pos="8640"/>
              </w:tabs>
              <w:rPr>
                <w:i/>
                <w:sz w:val="22"/>
                <w:szCs w:val="22"/>
              </w:rPr>
            </w:pPr>
            <w:r w:rsidRPr="00AC5924">
              <w:rPr>
                <w:i/>
                <w:sz w:val="22"/>
                <w:szCs w:val="22"/>
              </w:rPr>
              <w:t>TITLE:</w:t>
            </w:r>
          </w:p>
        </w:tc>
      </w:tr>
      <w:tr w:rsidR="000A3869" w:rsidRPr="001F308E" w14:paraId="4A3051EE" w14:textId="77777777" w:rsidTr="00D40B7A">
        <w:trPr>
          <w:trHeight w:val="459"/>
          <w:jc w:val="center"/>
        </w:trPr>
        <w:tc>
          <w:tcPr>
            <w:tcW w:w="9000" w:type="dxa"/>
            <w:gridSpan w:val="5"/>
            <w:tcBorders>
              <w:top w:val="nil"/>
              <w:left w:val="double" w:sz="4" w:space="0" w:color="auto"/>
              <w:bottom w:val="double" w:sz="4" w:space="0" w:color="auto"/>
              <w:right w:val="double" w:sz="4" w:space="0" w:color="auto"/>
            </w:tcBorders>
          </w:tcPr>
          <w:p w14:paraId="16DD7DD0" w14:textId="56892E37" w:rsidR="000A3869" w:rsidRPr="00D40B7A" w:rsidRDefault="006E3BC4" w:rsidP="006E3BC4">
            <w:pPr>
              <w:rPr>
                <w:b/>
              </w:rPr>
            </w:pPr>
            <w:r>
              <w:rPr>
                <w:b/>
              </w:rPr>
              <w:t>Dual-</w:t>
            </w:r>
            <w:r w:rsidR="009129F3">
              <w:rPr>
                <w:b/>
              </w:rPr>
              <w:t>B</w:t>
            </w:r>
            <w:r>
              <w:rPr>
                <w:b/>
              </w:rPr>
              <w:t>arcoding</w:t>
            </w:r>
            <w:r w:rsidR="009129F3">
              <w:rPr>
                <w:b/>
              </w:rPr>
              <w:t xml:space="preserve"> </w:t>
            </w:r>
            <w:r w:rsidR="006D1902">
              <w:rPr>
                <w:b/>
              </w:rPr>
              <w:t xml:space="preserve">Two-Step </w:t>
            </w:r>
            <w:r w:rsidR="00D40B7A">
              <w:rPr>
                <w:b/>
              </w:rPr>
              <w:t>P</w:t>
            </w:r>
            <w:r w:rsidR="000D33A0">
              <w:rPr>
                <w:b/>
              </w:rPr>
              <w:t>CR p</w:t>
            </w:r>
            <w:r w:rsidR="00D40B7A">
              <w:rPr>
                <w:b/>
              </w:rPr>
              <w:t xml:space="preserve">rocedure </w:t>
            </w:r>
            <w:r>
              <w:rPr>
                <w:b/>
              </w:rPr>
              <w:t>using primers for the ITS region</w:t>
            </w:r>
          </w:p>
        </w:tc>
      </w:tr>
      <w:tr w:rsidR="000A3869" w14:paraId="0CFDCE90" w14:textId="77777777">
        <w:trPr>
          <w:trHeight w:val="371"/>
          <w:jc w:val="center"/>
        </w:trPr>
        <w:tc>
          <w:tcPr>
            <w:tcW w:w="4193" w:type="dxa"/>
            <w:gridSpan w:val="3"/>
            <w:tcBorders>
              <w:top w:val="double" w:sz="4" w:space="0" w:color="auto"/>
              <w:left w:val="double" w:sz="4" w:space="0" w:color="auto"/>
              <w:bottom w:val="nil"/>
              <w:right w:val="double" w:sz="4" w:space="0" w:color="auto"/>
            </w:tcBorders>
          </w:tcPr>
          <w:p w14:paraId="3AC3E83C" w14:textId="77777777" w:rsidR="00AC5924" w:rsidRPr="000A3869" w:rsidRDefault="00AC5924" w:rsidP="00204905">
            <w:pPr>
              <w:tabs>
                <w:tab w:val="left" w:pos="360"/>
                <w:tab w:val="left" w:pos="7200"/>
                <w:tab w:val="right" w:pos="8640"/>
              </w:tabs>
              <w:rPr>
                <w:i/>
                <w:sz w:val="22"/>
                <w:szCs w:val="22"/>
              </w:rPr>
            </w:pPr>
            <w:r w:rsidRPr="000A3869">
              <w:rPr>
                <w:i/>
                <w:sz w:val="22"/>
                <w:szCs w:val="22"/>
              </w:rPr>
              <w:t>AUTHOR</w:t>
            </w:r>
            <w:r w:rsidR="000A3869">
              <w:rPr>
                <w:i/>
                <w:sz w:val="22"/>
                <w:szCs w:val="22"/>
              </w:rPr>
              <w:t xml:space="preserve"> </w:t>
            </w:r>
            <w:r w:rsidRPr="000A3869">
              <w:rPr>
                <w:i/>
                <w:sz w:val="22"/>
                <w:szCs w:val="22"/>
              </w:rPr>
              <w:t>(S):</w:t>
            </w:r>
          </w:p>
        </w:tc>
        <w:tc>
          <w:tcPr>
            <w:tcW w:w="4807" w:type="dxa"/>
            <w:gridSpan w:val="2"/>
            <w:tcBorders>
              <w:top w:val="double" w:sz="4" w:space="0" w:color="auto"/>
              <w:left w:val="double" w:sz="4" w:space="0" w:color="auto"/>
              <w:bottom w:val="nil"/>
              <w:right w:val="double" w:sz="4" w:space="0" w:color="auto"/>
            </w:tcBorders>
          </w:tcPr>
          <w:p w14:paraId="08B1184C" w14:textId="77777777" w:rsidR="00AC5924" w:rsidRPr="000A3869" w:rsidRDefault="00AC5924" w:rsidP="00204905">
            <w:pPr>
              <w:tabs>
                <w:tab w:val="left" w:pos="360"/>
                <w:tab w:val="left" w:pos="7200"/>
                <w:tab w:val="right" w:pos="8640"/>
              </w:tabs>
              <w:rPr>
                <w:i/>
                <w:sz w:val="22"/>
                <w:szCs w:val="22"/>
              </w:rPr>
            </w:pPr>
            <w:r w:rsidRPr="00AC5924">
              <w:rPr>
                <w:i/>
                <w:sz w:val="22"/>
                <w:szCs w:val="22"/>
              </w:rPr>
              <w:t>REVIEWER</w:t>
            </w:r>
            <w:r w:rsidR="000A3869">
              <w:rPr>
                <w:i/>
                <w:sz w:val="22"/>
                <w:szCs w:val="22"/>
              </w:rPr>
              <w:t xml:space="preserve"> </w:t>
            </w:r>
            <w:r w:rsidRPr="00AC5924">
              <w:rPr>
                <w:i/>
                <w:sz w:val="22"/>
                <w:szCs w:val="22"/>
              </w:rPr>
              <w:t>(S):</w:t>
            </w:r>
          </w:p>
        </w:tc>
      </w:tr>
      <w:tr w:rsidR="000A3869" w14:paraId="00F745C4" w14:textId="77777777">
        <w:trPr>
          <w:trHeight w:val="371"/>
          <w:jc w:val="center"/>
        </w:trPr>
        <w:tc>
          <w:tcPr>
            <w:tcW w:w="4193" w:type="dxa"/>
            <w:gridSpan w:val="3"/>
            <w:tcBorders>
              <w:top w:val="nil"/>
              <w:left w:val="double" w:sz="4" w:space="0" w:color="auto"/>
              <w:bottom w:val="double" w:sz="4" w:space="0" w:color="auto"/>
              <w:right w:val="double" w:sz="4" w:space="0" w:color="auto"/>
            </w:tcBorders>
          </w:tcPr>
          <w:p w14:paraId="7FEA3191" w14:textId="6348E0B9" w:rsidR="000A3869" w:rsidRPr="00AC5924" w:rsidRDefault="000A3869" w:rsidP="00FB0E6C">
            <w:pPr>
              <w:tabs>
                <w:tab w:val="left" w:pos="360"/>
                <w:tab w:val="left" w:pos="7200"/>
                <w:tab w:val="right" w:pos="8640"/>
              </w:tabs>
              <w:rPr>
                <w:sz w:val="22"/>
                <w:szCs w:val="22"/>
              </w:rPr>
            </w:pPr>
            <w:r>
              <w:t>Sure</w:t>
            </w:r>
            <w:r w:rsidR="004438D7">
              <w:t>sh Iyer</w:t>
            </w:r>
          </w:p>
        </w:tc>
        <w:tc>
          <w:tcPr>
            <w:tcW w:w="4807" w:type="dxa"/>
            <w:gridSpan w:val="2"/>
            <w:tcBorders>
              <w:top w:val="nil"/>
              <w:left w:val="double" w:sz="4" w:space="0" w:color="auto"/>
              <w:bottom w:val="double" w:sz="4" w:space="0" w:color="auto"/>
              <w:right w:val="double" w:sz="4" w:space="0" w:color="auto"/>
            </w:tcBorders>
          </w:tcPr>
          <w:p w14:paraId="567C7DE9" w14:textId="2B612152" w:rsidR="000A3869" w:rsidRPr="000A3869" w:rsidRDefault="000A3869" w:rsidP="00204905">
            <w:pPr>
              <w:tabs>
                <w:tab w:val="left" w:pos="360"/>
                <w:tab w:val="left" w:pos="7200"/>
                <w:tab w:val="right" w:pos="8640"/>
              </w:tabs>
            </w:pPr>
          </w:p>
        </w:tc>
      </w:tr>
      <w:tr w:rsidR="000A3869" w14:paraId="6E855834" w14:textId="77777777">
        <w:trPr>
          <w:trHeight w:val="391"/>
          <w:jc w:val="center"/>
        </w:trPr>
        <w:tc>
          <w:tcPr>
            <w:tcW w:w="1980" w:type="dxa"/>
            <w:gridSpan w:val="2"/>
            <w:tcBorders>
              <w:top w:val="double" w:sz="4" w:space="0" w:color="auto"/>
              <w:left w:val="double" w:sz="4" w:space="0" w:color="auto"/>
              <w:bottom w:val="nil"/>
              <w:right w:val="double" w:sz="4" w:space="0" w:color="auto"/>
            </w:tcBorders>
          </w:tcPr>
          <w:p w14:paraId="293C15D2" w14:textId="77777777" w:rsidR="00AC5924" w:rsidRPr="000A3869" w:rsidRDefault="00D50C01" w:rsidP="00204905">
            <w:pPr>
              <w:tabs>
                <w:tab w:val="left" w:pos="360"/>
                <w:tab w:val="left" w:pos="7200"/>
                <w:tab w:val="right" w:pos="8640"/>
              </w:tabs>
              <w:rPr>
                <w:i/>
                <w:sz w:val="22"/>
                <w:szCs w:val="22"/>
              </w:rPr>
            </w:pPr>
            <w:r>
              <w:rPr>
                <w:i/>
                <w:sz w:val="22"/>
                <w:szCs w:val="22"/>
              </w:rPr>
              <w:t>SOP #</w:t>
            </w:r>
          </w:p>
        </w:tc>
        <w:tc>
          <w:tcPr>
            <w:tcW w:w="2213" w:type="dxa"/>
            <w:tcBorders>
              <w:top w:val="double" w:sz="4" w:space="0" w:color="auto"/>
              <w:left w:val="double" w:sz="4" w:space="0" w:color="auto"/>
              <w:bottom w:val="nil"/>
              <w:right w:val="double" w:sz="4" w:space="0" w:color="auto"/>
            </w:tcBorders>
          </w:tcPr>
          <w:p w14:paraId="011DD3D0" w14:textId="77777777" w:rsidR="000A3869" w:rsidRPr="000A3869" w:rsidRDefault="00AC5924" w:rsidP="00204905">
            <w:pPr>
              <w:tabs>
                <w:tab w:val="left" w:pos="360"/>
                <w:tab w:val="left" w:pos="7200"/>
                <w:tab w:val="right" w:pos="8640"/>
              </w:tabs>
              <w:rPr>
                <w:i/>
                <w:sz w:val="22"/>
                <w:szCs w:val="22"/>
              </w:rPr>
            </w:pPr>
            <w:r w:rsidRPr="00AC5924">
              <w:rPr>
                <w:i/>
                <w:sz w:val="22"/>
                <w:szCs w:val="22"/>
              </w:rPr>
              <w:t>REVISION #:</w:t>
            </w:r>
          </w:p>
        </w:tc>
        <w:tc>
          <w:tcPr>
            <w:tcW w:w="3097" w:type="dxa"/>
            <w:tcBorders>
              <w:top w:val="double" w:sz="4" w:space="0" w:color="auto"/>
              <w:left w:val="double" w:sz="4" w:space="0" w:color="auto"/>
              <w:bottom w:val="nil"/>
              <w:right w:val="double" w:sz="4" w:space="0" w:color="auto"/>
            </w:tcBorders>
          </w:tcPr>
          <w:p w14:paraId="70538C38" w14:textId="77777777" w:rsidR="000A3869" w:rsidRPr="000A3869" w:rsidRDefault="00AC5924" w:rsidP="00204905">
            <w:pPr>
              <w:tabs>
                <w:tab w:val="left" w:pos="360"/>
                <w:tab w:val="left" w:pos="7200"/>
                <w:tab w:val="right" w:pos="8640"/>
              </w:tabs>
              <w:rPr>
                <w:i/>
                <w:sz w:val="22"/>
                <w:szCs w:val="22"/>
              </w:rPr>
            </w:pPr>
            <w:r w:rsidRPr="00AC5924">
              <w:rPr>
                <w:i/>
                <w:sz w:val="22"/>
                <w:szCs w:val="22"/>
              </w:rPr>
              <w:t>DATE:</w:t>
            </w:r>
          </w:p>
        </w:tc>
        <w:tc>
          <w:tcPr>
            <w:tcW w:w="1710" w:type="dxa"/>
            <w:tcBorders>
              <w:top w:val="double" w:sz="4" w:space="0" w:color="auto"/>
              <w:left w:val="double" w:sz="4" w:space="0" w:color="auto"/>
              <w:bottom w:val="nil"/>
              <w:right w:val="double" w:sz="4" w:space="0" w:color="auto"/>
            </w:tcBorders>
          </w:tcPr>
          <w:p w14:paraId="503724A3" w14:textId="77777777" w:rsidR="000A3869" w:rsidRPr="000A3869" w:rsidRDefault="00AC5924" w:rsidP="00204905">
            <w:pPr>
              <w:tabs>
                <w:tab w:val="left" w:pos="360"/>
                <w:tab w:val="left" w:pos="7200"/>
                <w:tab w:val="right" w:pos="8640"/>
              </w:tabs>
              <w:rPr>
                <w:i/>
                <w:sz w:val="22"/>
                <w:szCs w:val="22"/>
              </w:rPr>
            </w:pPr>
            <w:r w:rsidRPr="00AC5924">
              <w:rPr>
                <w:i/>
                <w:sz w:val="22"/>
                <w:szCs w:val="22"/>
              </w:rPr>
              <w:t>NUMBER OF PAGES:</w:t>
            </w:r>
          </w:p>
        </w:tc>
      </w:tr>
      <w:tr w:rsidR="000A3869" w14:paraId="50059A85" w14:textId="77777777">
        <w:trPr>
          <w:trHeight w:val="391"/>
          <w:jc w:val="center"/>
        </w:trPr>
        <w:tc>
          <w:tcPr>
            <w:tcW w:w="1980" w:type="dxa"/>
            <w:gridSpan w:val="2"/>
            <w:tcBorders>
              <w:top w:val="nil"/>
              <w:left w:val="double" w:sz="4" w:space="0" w:color="auto"/>
              <w:bottom w:val="double" w:sz="4" w:space="0" w:color="auto"/>
              <w:right w:val="double" w:sz="4" w:space="0" w:color="auto"/>
            </w:tcBorders>
          </w:tcPr>
          <w:p w14:paraId="0C95BEAD" w14:textId="1C5B045B" w:rsidR="000A3869" w:rsidRPr="000A3869" w:rsidRDefault="00D50C01" w:rsidP="00204905">
            <w:pPr>
              <w:tabs>
                <w:tab w:val="left" w:pos="360"/>
                <w:tab w:val="left" w:pos="7200"/>
                <w:tab w:val="right" w:pos="8640"/>
              </w:tabs>
            </w:pPr>
            <w:r>
              <w:t>GRC_00</w:t>
            </w:r>
            <w:r w:rsidR="00604B72">
              <w:t>8</w:t>
            </w:r>
          </w:p>
        </w:tc>
        <w:tc>
          <w:tcPr>
            <w:tcW w:w="2213" w:type="dxa"/>
            <w:tcBorders>
              <w:top w:val="nil"/>
              <w:left w:val="double" w:sz="4" w:space="0" w:color="auto"/>
              <w:bottom w:val="double" w:sz="4" w:space="0" w:color="auto"/>
              <w:right w:val="double" w:sz="4" w:space="0" w:color="auto"/>
            </w:tcBorders>
          </w:tcPr>
          <w:p w14:paraId="67C0A905" w14:textId="5241C901" w:rsidR="000A3869" w:rsidRPr="000A3869" w:rsidRDefault="00604B72" w:rsidP="00204905">
            <w:pPr>
              <w:tabs>
                <w:tab w:val="left" w:pos="360"/>
                <w:tab w:val="left" w:pos="7200"/>
                <w:tab w:val="right" w:pos="8640"/>
              </w:tabs>
            </w:pPr>
            <w:r>
              <w:t>1</w:t>
            </w:r>
          </w:p>
        </w:tc>
        <w:tc>
          <w:tcPr>
            <w:tcW w:w="3097" w:type="dxa"/>
            <w:tcBorders>
              <w:top w:val="nil"/>
              <w:left w:val="double" w:sz="4" w:space="0" w:color="auto"/>
              <w:bottom w:val="double" w:sz="4" w:space="0" w:color="auto"/>
              <w:right w:val="double" w:sz="4" w:space="0" w:color="auto"/>
            </w:tcBorders>
          </w:tcPr>
          <w:p w14:paraId="65210B2B" w14:textId="40D702FA" w:rsidR="000A3869" w:rsidRPr="000A3869" w:rsidRDefault="006D1902" w:rsidP="00204905">
            <w:pPr>
              <w:tabs>
                <w:tab w:val="left" w:pos="360"/>
                <w:tab w:val="left" w:pos="7200"/>
                <w:tab w:val="right" w:pos="8640"/>
              </w:tabs>
            </w:pPr>
            <w:r>
              <w:t xml:space="preserve">February </w:t>
            </w:r>
            <w:r w:rsidR="000A3869">
              <w:t>201</w:t>
            </w:r>
            <w:r>
              <w:t>3</w:t>
            </w:r>
          </w:p>
        </w:tc>
        <w:tc>
          <w:tcPr>
            <w:tcW w:w="1710" w:type="dxa"/>
            <w:tcBorders>
              <w:top w:val="nil"/>
              <w:left w:val="double" w:sz="4" w:space="0" w:color="auto"/>
              <w:bottom w:val="double" w:sz="4" w:space="0" w:color="auto"/>
              <w:right w:val="double" w:sz="4" w:space="0" w:color="auto"/>
            </w:tcBorders>
          </w:tcPr>
          <w:p w14:paraId="3FB64F1B" w14:textId="28F953DF" w:rsidR="000A3869" w:rsidRPr="000A3869" w:rsidRDefault="00206BAF" w:rsidP="00204905">
            <w:pPr>
              <w:tabs>
                <w:tab w:val="left" w:pos="360"/>
                <w:tab w:val="left" w:pos="7200"/>
                <w:tab w:val="right" w:pos="8640"/>
              </w:tabs>
            </w:pPr>
            <w:r>
              <w:t>9</w:t>
            </w:r>
          </w:p>
        </w:tc>
      </w:tr>
    </w:tbl>
    <w:p w14:paraId="0205C6BF" w14:textId="77777777" w:rsidR="00D85EBE" w:rsidRDefault="00D85EBE" w:rsidP="00204905">
      <w:pPr>
        <w:rPr>
          <w:b/>
          <w:szCs w:val="22"/>
        </w:rPr>
      </w:pPr>
    </w:p>
    <w:p w14:paraId="0013536E" w14:textId="77777777" w:rsidR="00206BAF" w:rsidRDefault="00206BAF" w:rsidP="00204905">
      <w:pPr>
        <w:rPr>
          <w:b/>
          <w:szCs w:val="22"/>
        </w:rPr>
      </w:pPr>
    </w:p>
    <w:p w14:paraId="32A64C7A" w14:textId="77777777" w:rsidR="00D50C01" w:rsidRPr="000472A6" w:rsidRDefault="00D50C01" w:rsidP="00D50C01">
      <w:pPr>
        <w:pStyle w:val="ListParagraph"/>
        <w:numPr>
          <w:ilvl w:val="0"/>
          <w:numId w:val="9"/>
        </w:numPr>
        <w:tabs>
          <w:tab w:val="left" w:pos="360"/>
        </w:tabs>
        <w:suppressAutoHyphens/>
        <w:ind w:left="0" w:firstLine="0"/>
        <w:contextualSpacing w:val="0"/>
        <w:rPr>
          <w:rFonts w:ascii="Calisto MT" w:hAnsi="Calisto MT"/>
          <w:b/>
          <w:sz w:val="20"/>
        </w:rPr>
      </w:pPr>
      <w:r w:rsidRPr="000472A6">
        <w:rPr>
          <w:rFonts w:ascii="Calisto MT" w:hAnsi="Calisto MT"/>
          <w:b/>
          <w:sz w:val="20"/>
        </w:rPr>
        <w:t>PURPOSE</w:t>
      </w:r>
    </w:p>
    <w:p w14:paraId="30D0BBEA" w14:textId="77777777" w:rsidR="00D50C01" w:rsidRPr="009E25E4" w:rsidRDefault="00D50C01" w:rsidP="00D50C01">
      <w:pPr>
        <w:ind w:left="360"/>
        <w:rPr>
          <w:rFonts w:ascii="Calisto MT" w:hAnsi="Calisto MT"/>
          <w:sz w:val="20"/>
        </w:rPr>
      </w:pPr>
    </w:p>
    <w:p w14:paraId="5ED53735" w14:textId="0C579A7B" w:rsidR="00FE4B79" w:rsidRDefault="009129F3" w:rsidP="004D0FDF">
      <w:pPr>
        <w:rPr>
          <w:rFonts w:ascii="Cambria" w:eastAsia="ＭＳ 明朝" w:hAnsi="Cambria" w:cs="Times New Roman"/>
        </w:rPr>
      </w:pPr>
      <w:r>
        <w:rPr>
          <w:rFonts w:ascii="Cambria" w:eastAsia="ＭＳ 明朝" w:hAnsi="Cambria" w:cs="Times New Roman"/>
        </w:rPr>
        <w:t xml:space="preserve">This document describes </w:t>
      </w:r>
      <w:r w:rsidR="002712E1">
        <w:rPr>
          <w:rFonts w:ascii="Cambria" w:eastAsia="ＭＳ 明朝" w:hAnsi="Cambria" w:cs="Times New Roman"/>
        </w:rPr>
        <w:t>the method</w:t>
      </w:r>
      <w:r w:rsidR="009F099C">
        <w:rPr>
          <w:rFonts w:ascii="Cambria" w:eastAsia="ＭＳ 明朝" w:hAnsi="Cambria" w:cs="Times New Roman"/>
        </w:rPr>
        <w:t xml:space="preserve"> </w:t>
      </w:r>
      <w:r>
        <w:rPr>
          <w:rFonts w:ascii="Cambria" w:eastAsia="ＭＳ 明朝" w:hAnsi="Cambria" w:cs="Times New Roman"/>
        </w:rPr>
        <w:t xml:space="preserve">for performing </w:t>
      </w:r>
      <w:r w:rsidR="009B4E05">
        <w:rPr>
          <w:rFonts w:ascii="Cambria" w:eastAsia="ＭＳ 明朝" w:hAnsi="Cambria" w:cs="Times New Roman"/>
        </w:rPr>
        <w:t>dual-barcoding via a</w:t>
      </w:r>
      <w:r>
        <w:rPr>
          <w:rFonts w:ascii="Cambria" w:eastAsia="ＭＳ 明朝" w:hAnsi="Cambria" w:cs="Times New Roman"/>
        </w:rPr>
        <w:t xml:space="preserve"> two-step </w:t>
      </w:r>
      <w:r w:rsidR="009B4E05">
        <w:rPr>
          <w:rFonts w:ascii="Cambria" w:eastAsia="ＭＳ 明朝" w:hAnsi="Cambria" w:cs="Times New Roman"/>
        </w:rPr>
        <w:t xml:space="preserve">PCR </w:t>
      </w:r>
      <w:r w:rsidR="002712E1">
        <w:rPr>
          <w:rFonts w:ascii="Cambria" w:eastAsia="ＭＳ 明朝" w:hAnsi="Cambria" w:cs="Times New Roman"/>
        </w:rPr>
        <w:t xml:space="preserve">process </w:t>
      </w:r>
      <w:r w:rsidR="009B4E05">
        <w:rPr>
          <w:rFonts w:ascii="Cambria" w:eastAsia="ＭＳ 明朝" w:hAnsi="Cambria" w:cs="Times New Roman"/>
        </w:rPr>
        <w:t>for</w:t>
      </w:r>
      <w:r>
        <w:rPr>
          <w:rFonts w:ascii="Cambria" w:eastAsia="ＭＳ 明朝" w:hAnsi="Cambria" w:cs="Times New Roman"/>
        </w:rPr>
        <w:t xml:space="preserve"> amplicons</w:t>
      </w:r>
      <w:r w:rsidR="006E3BC4">
        <w:rPr>
          <w:rFonts w:ascii="Cambria" w:eastAsia="ＭＳ 明朝" w:hAnsi="Cambria" w:cs="Times New Roman"/>
        </w:rPr>
        <w:t xml:space="preserve"> </w:t>
      </w:r>
      <w:r w:rsidR="00265E0C">
        <w:rPr>
          <w:rFonts w:ascii="Cambria" w:eastAsia="ＭＳ 明朝" w:hAnsi="Cambria" w:cs="Times New Roman"/>
        </w:rPr>
        <w:t xml:space="preserve">derived </w:t>
      </w:r>
      <w:r w:rsidR="006E3BC4">
        <w:rPr>
          <w:rFonts w:ascii="Cambria" w:eastAsia="ＭＳ 明朝" w:hAnsi="Cambria" w:cs="Times New Roman"/>
        </w:rPr>
        <w:t xml:space="preserve">using </w:t>
      </w:r>
      <w:r w:rsidR="00265E0C">
        <w:rPr>
          <w:rFonts w:ascii="Cambria" w:eastAsia="ＭＳ 明朝" w:hAnsi="Cambria" w:cs="Times New Roman"/>
        </w:rPr>
        <w:t>primers</w:t>
      </w:r>
      <w:r w:rsidR="006E3BC4">
        <w:rPr>
          <w:rFonts w:ascii="Cambria" w:eastAsia="ＭＳ 明朝" w:hAnsi="Cambria" w:cs="Times New Roman"/>
        </w:rPr>
        <w:t xml:space="preserve"> </w:t>
      </w:r>
      <w:r w:rsidR="00265E0C">
        <w:rPr>
          <w:rFonts w:ascii="Cambria" w:eastAsia="ＭＳ 明朝" w:hAnsi="Cambria" w:cs="Times New Roman"/>
        </w:rPr>
        <w:t xml:space="preserve">for the </w:t>
      </w:r>
      <w:r w:rsidR="006E3BC4">
        <w:rPr>
          <w:rFonts w:ascii="Cambria" w:eastAsia="ＭＳ 明朝" w:hAnsi="Cambria" w:cs="Times New Roman"/>
        </w:rPr>
        <w:t>ITS region</w:t>
      </w:r>
      <w:r>
        <w:rPr>
          <w:rFonts w:ascii="Cambria" w:eastAsia="ＭＳ 明朝" w:hAnsi="Cambria" w:cs="Times New Roman"/>
        </w:rPr>
        <w:t>.</w:t>
      </w:r>
      <w:r w:rsidR="009F099C">
        <w:rPr>
          <w:rFonts w:ascii="Cambria" w:eastAsia="ＭＳ 明朝" w:hAnsi="Cambria" w:cs="Times New Roman"/>
        </w:rPr>
        <w:t xml:space="preserve">  </w:t>
      </w:r>
      <w:r>
        <w:rPr>
          <w:rFonts w:ascii="Cambria" w:eastAsia="ＭＳ 明朝" w:hAnsi="Cambria" w:cs="Times New Roman"/>
        </w:rPr>
        <w:t xml:space="preserve">The first PCR step isolates the target specific </w:t>
      </w:r>
      <w:r w:rsidR="00265E0C">
        <w:rPr>
          <w:rFonts w:ascii="Cambria" w:eastAsia="ＭＳ 明朝" w:hAnsi="Cambria" w:cs="Times New Roman"/>
        </w:rPr>
        <w:t xml:space="preserve">ITS </w:t>
      </w:r>
      <w:r>
        <w:rPr>
          <w:rFonts w:ascii="Cambria" w:eastAsia="ＭＳ 明朝" w:hAnsi="Cambria" w:cs="Times New Roman"/>
        </w:rPr>
        <w:t xml:space="preserve">region whereas the second PCR step adds on </w:t>
      </w:r>
      <w:r w:rsidR="002712E1">
        <w:rPr>
          <w:rFonts w:ascii="Cambria" w:eastAsia="ＭＳ 明朝" w:hAnsi="Cambria" w:cs="Times New Roman"/>
        </w:rPr>
        <w:t xml:space="preserve">Illumina </w:t>
      </w:r>
      <w:r>
        <w:rPr>
          <w:rFonts w:ascii="Cambria" w:eastAsia="ＭＳ 明朝" w:hAnsi="Cambria" w:cs="Times New Roman"/>
        </w:rPr>
        <w:t xml:space="preserve">adapters and barcodes. </w:t>
      </w:r>
      <w:r w:rsidR="009B4E05">
        <w:rPr>
          <w:rFonts w:ascii="Cambria" w:eastAsia="ＭＳ 明朝" w:hAnsi="Cambria" w:cs="Times New Roman"/>
        </w:rPr>
        <w:t>Bo</w:t>
      </w:r>
      <w:bookmarkStart w:id="0" w:name="_GoBack"/>
      <w:bookmarkEnd w:id="0"/>
      <w:r w:rsidR="009B4E05">
        <w:rPr>
          <w:rFonts w:ascii="Cambria" w:eastAsia="ＭＳ 明朝" w:hAnsi="Cambria" w:cs="Times New Roman"/>
        </w:rPr>
        <w:t>th</w:t>
      </w:r>
      <w:r>
        <w:rPr>
          <w:rFonts w:ascii="Cambria" w:eastAsia="ＭＳ 明朝" w:hAnsi="Cambria" w:cs="Times New Roman"/>
        </w:rPr>
        <w:t xml:space="preserve"> </w:t>
      </w:r>
      <w:r w:rsidR="000B6913">
        <w:rPr>
          <w:rFonts w:ascii="Cambria" w:eastAsia="ＭＳ 明朝" w:hAnsi="Cambria" w:cs="Times New Roman"/>
        </w:rPr>
        <w:t xml:space="preserve">PCR </w:t>
      </w:r>
      <w:r>
        <w:rPr>
          <w:rFonts w:ascii="Cambria" w:eastAsia="ＭＳ 明朝" w:hAnsi="Cambria" w:cs="Times New Roman"/>
        </w:rPr>
        <w:t xml:space="preserve">primers </w:t>
      </w:r>
      <w:r w:rsidR="000B6913">
        <w:rPr>
          <w:rFonts w:ascii="Cambria" w:eastAsia="ＭＳ 明朝" w:hAnsi="Cambria" w:cs="Times New Roman"/>
        </w:rPr>
        <w:t xml:space="preserve">of the first PCR </w:t>
      </w:r>
      <w:r>
        <w:rPr>
          <w:rFonts w:ascii="Cambria" w:eastAsia="ＭＳ 明朝" w:hAnsi="Cambria" w:cs="Times New Roman"/>
        </w:rPr>
        <w:t>include universal CS1 and CS2 tags. The second PCR extends th</w:t>
      </w:r>
      <w:r w:rsidR="00D566E6">
        <w:rPr>
          <w:rFonts w:ascii="Cambria" w:eastAsia="ＭＳ 明朝" w:hAnsi="Cambria" w:cs="Times New Roman"/>
        </w:rPr>
        <w:t>e universal sequences with adapt</w:t>
      </w:r>
      <w:r>
        <w:rPr>
          <w:rFonts w:ascii="Cambria" w:eastAsia="ＭＳ 明朝" w:hAnsi="Cambria" w:cs="Times New Roman"/>
        </w:rPr>
        <w:t>ers and barcodes</w:t>
      </w:r>
      <w:r w:rsidR="00265E0C">
        <w:rPr>
          <w:rFonts w:ascii="Cambria" w:eastAsia="ＭＳ 明朝" w:hAnsi="Cambria" w:cs="Times New Roman"/>
        </w:rPr>
        <w:t xml:space="preserve"> for Illumina sequencing</w:t>
      </w:r>
      <w:r>
        <w:rPr>
          <w:rFonts w:ascii="Cambria" w:eastAsia="ＭＳ 明朝" w:hAnsi="Cambria" w:cs="Times New Roman"/>
        </w:rPr>
        <w:t xml:space="preserve">. </w:t>
      </w:r>
      <w:r w:rsidR="000B6913">
        <w:rPr>
          <w:rFonts w:ascii="Cambria" w:eastAsia="ＭＳ 明朝" w:hAnsi="Cambria" w:cs="Times New Roman"/>
        </w:rPr>
        <w:t>These allow for maximum flexibility in target specific primer usage and the ability to separately barcode or include</w:t>
      </w:r>
      <w:r w:rsidR="00D566E6">
        <w:rPr>
          <w:rFonts w:ascii="Cambria" w:eastAsia="ＭＳ 明朝" w:hAnsi="Cambria" w:cs="Times New Roman"/>
        </w:rPr>
        <w:t xml:space="preserve"> multiple targets in the same sequencing reaction without needing to purchase a large number of barcoded primers. Barcodes are included in both adapters </w:t>
      </w:r>
      <w:r w:rsidR="002712E1">
        <w:rPr>
          <w:rFonts w:ascii="Cambria" w:eastAsia="ＭＳ 明朝" w:hAnsi="Cambria" w:cs="Times New Roman"/>
        </w:rPr>
        <w:t xml:space="preserve">currently </w:t>
      </w:r>
      <w:r w:rsidR="00D566E6">
        <w:rPr>
          <w:rFonts w:ascii="Cambria" w:eastAsia="ＭＳ 明朝" w:hAnsi="Cambria" w:cs="Times New Roman"/>
        </w:rPr>
        <w:t xml:space="preserve">allowing for </w:t>
      </w:r>
      <w:r w:rsidR="0084678A">
        <w:rPr>
          <w:rFonts w:ascii="Cambria" w:eastAsia="ＭＳ 明朝" w:hAnsi="Cambria" w:cs="Times New Roman"/>
        </w:rPr>
        <w:t>16x24 adapters</w:t>
      </w:r>
      <w:r w:rsidR="002712E1">
        <w:rPr>
          <w:rFonts w:ascii="Cambria" w:eastAsia="ＭＳ 明朝" w:hAnsi="Cambria" w:cs="Times New Roman"/>
        </w:rPr>
        <w:t xml:space="preserve"> to uniquely identify 384 </w:t>
      </w:r>
      <w:r w:rsidR="00FF4406">
        <w:rPr>
          <w:rFonts w:ascii="Cambria" w:eastAsia="ＭＳ 明朝" w:hAnsi="Cambria" w:cs="Times New Roman"/>
        </w:rPr>
        <w:t>samples. Fig 1</w:t>
      </w:r>
      <w:r w:rsidR="002831AF">
        <w:rPr>
          <w:rFonts w:ascii="Cambria" w:eastAsia="ＭＳ 明朝" w:hAnsi="Cambria" w:cs="Times New Roman"/>
        </w:rPr>
        <w:t xml:space="preserve"> shows </w:t>
      </w:r>
      <w:r w:rsidR="00517A2A">
        <w:rPr>
          <w:rFonts w:ascii="Cambria" w:eastAsia="ＭＳ 明朝" w:hAnsi="Cambria" w:cs="Times New Roman"/>
        </w:rPr>
        <w:t xml:space="preserve">a chart of the </w:t>
      </w:r>
      <w:r w:rsidR="000D5A44">
        <w:rPr>
          <w:rFonts w:ascii="Cambria" w:eastAsia="ＭＳ 明朝" w:hAnsi="Cambria" w:cs="Times New Roman"/>
        </w:rPr>
        <w:t>procedure.</w:t>
      </w:r>
    </w:p>
    <w:p w14:paraId="7CCD5A70" w14:textId="3A019DA9" w:rsidR="006E3BC4" w:rsidRDefault="006E3BC4" w:rsidP="006E3BC4">
      <w:pPr>
        <w:pStyle w:val="NormalWeb"/>
        <w:numPr>
          <w:ilvl w:val="0"/>
          <w:numId w:val="9"/>
        </w:numPr>
        <w:ind w:left="360" w:hanging="270"/>
        <w:rPr>
          <w:rFonts w:ascii="Cambria" w:eastAsia="ＭＳ 明朝" w:hAnsi="Cambria"/>
          <w:sz w:val="24"/>
          <w:szCs w:val="24"/>
          <w:lang w:eastAsia="ja-JP"/>
        </w:rPr>
      </w:pPr>
      <w:r w:rsidRPr="006E3BC4">
        <w:rPr>
          <w:rFonts w:ascii="Calisto MT" w:eastAsia="ＭＳ 明朝" w:hAnsi="Calisto MT"/>
          <w:b/>
          <w:sz w:val="24"/>
          <w:szCs w:val="24"/>
          <w:lang w:eastAsia="ja-JP"/>
        </w:rPr>
        <w:t>Background</w:t>
      </w:r>
      <w:r>
        <w:rPr>
          <w:rFonts w:ascii="Cambria" w:eastAsia="ＭＳ 明朝" w:hAnsi="Cambria"/>
          <w:sz w:val="24"/>
          <w:szCs w:val="24"/>
          <w:lang w:eastAsia="ja-JP"/>
        </w:rPr>
        <w:t xml:space="preserve"> </w:t>
      </w:r>
    </w:p>
    <w:p w14:paraId="2A723B89" w14:textId="6D13817B" w:rsidR="006E3BC4" w:rsidRDefault="006E3BC4" w:rsidP="006E3BC4">
      <w:pPr>
        <w:pStyle w:val="NormalWeb"/>
        <w:rPr>
          <w:rFonts w:asciiTheme="minorHAnsi" w:hAnsiTheme="minorHAnsi"/>
          <w:sz w:val="24"/>
          <w:szCs w:val="24"/>
        </w:rPr>
      </w:pPr>
      <w:r w:rsidRPr="00FE4B79">
        <w:rPr>
          <w:rFonts w:asciiTheme="minorHAnsi" w:hAnsiTheme="minorHAnsi"/>
          <w:sz w:val="24"/>
          <w:szCs w:val="24"/>
        </w:rPr>
        <w:t>Internal T</w:t>
      </w:r>
      <w:r>
        <w:rPr>
          <w:rFonts w:asciiTheme="minorHAnsi" w:hAnsiTheme="minorHAnsi"/>
          <w:sz w:val="24"/>
          <w:szCs w:val="24"/>
        </w:rPr>
        <w:t>ranscribed S</w:t>
      </w:r>
      <w:r w:rsidRPr="00FE4B79">
        <w:rPr>
          <w:rFonts w:asciiTheme="minorHAnsi" w:hAnsiTheme="minorHAnsi"/>
          <w:sz w:val="24"/>
          <w:szCs w:val="24"/>
        </w:rPr>
        <w:t>pacer (</w:t>
      </w:r>
      <w:r>
        <w:rPr>
          <w:rFonts w:asciiTheme="minorHAnsi" w:hAnsiTheme="minorHAnsi"/>
          <w:sz w:val="24"/>
          <w:szCs w:val="24"/>
        </w:rPr>
        <w:t xml:space="preserve">or </w:t>
      </w:r>
      <w:r w:rsidRPr="00FE4B79">
        <w:rPr>
          <w:rFonts w:asciiTheme="minorHAnsi" w:hAnsiTheme="minorHAnsi"/>
          <w:sz w:val="24"/>
          <w:szCs w:val="24"/>
        </w:rPr>
        <w:t xml:space="preserve">ITS) refers to a piece of non-functional </w:t>
      </w:r>
      <w:hyperlink r:id="rId11" w:tooltip="RNA" w:history="1">
        <w:r w:rsidRPr="00FE4B79">
          <w:rPr>
            <w:rStyle w:val="Hyperlink"/>
            <w:rFonts w:asciiTheme="minorHAnsi" w:hAnsiTheme="minorHAnsi"/>
            <w:color w:val="auto"/>
            <w:sz w:val="24"/>
            <w:szCs w:val="24"/>
            <w:u w:val="none"/>
          </w:rPr>
          <w:t>RNA</w:t>
        </w:r>
      </w:hyperlink>
      <w:r w:rsidRPr="00FE4B79">
        <w:rPr>
          <w:rFonts w:asciiTheme="minorHAnsi" w:hAnsiTheme="minorHAnsi"/>
          <w:sz w:val="24"/>
          <w:szCs w:val="24"/>
        </w:rPr>
        <w:t xml:space="preserve"> situated between structural ribosomal RNAs (</w:t>
      </w:r>
      <w:hyperlink r:id="rId12" w:tooltip="RRNA" w:history="1">
        <w:r w:rsidRPr="00FE4B79">
          <w:rPr>
            <w:rStyle w:val="Hyperlink"/>
            <w:rFonts w:asciiTheme="minorHAnsi" w:hAnsiTheme="minorHAnsi"/>
            <w:color w:val="auto"/>
            <w:sz w:val="24"/>
            <w:szCs w:val="24"/>
            <w:u w:val="none"/>
          </w:rPr>
          <w:t>rRNA</w:t>
        </w:r>
      </w:hyperlink>
      <w:r w:rsidRPr="00FE4B79">
        <w:rPr>
          <w:rFonts w:asciiTheme="minorHAnsi" w:hAnsiTheme="minorHAnsi"/>
          <w:sz w:val="24"/>
          <w:szCs w:val="24"/>
        </w:rPr>
        <w:t xml:space="preserve">) on a common precursor transcript. </w:t>
      </w:r>
      <w:hyperlink r:id="rId13" w:tooltip="Directionality (molecular biology)" w:history="1">
        <w:r w:rsidRPr="00FE4B79">
          <w:rPr>
            <w:rStyle w:val="Hyperlink"/>
            <w:rFonts w:asciiTheme="minorHAnsi" w:hAnsiTheme="minorHAnsi"/>
            <w:color w:val="auto"/>
            <w:sz w:val="24"/>
            <w:szCs w:val="24"/>
            <w:u w:val="none"/>
          </w:rPr>
          <w:t>Read from 5' to 3'</w:t>
        </w:r>
      </w:hyperlink>
      <w:r w:rsidRPr="00FE4B79">
        <w:rPr>
          <w:rFonts w:asciiTheme="minorHAnsi" w:hAnsiTheme="minorHAnsi"/>
          <w:sz w:val="24"/>
          <w:szCs w:val="24"/>
        </w:rPr>
        <w:t xml:space="preserve">, this </w:t>
      </w:r>
      <w:hyperlink r:id="rId14" w:anchor="Monocistronic_versus_polycistronic_mRNA" w:tooltip="Messenger RNA" w:history="1">
        <w:r w:rsidRPr="00FE4B79">
          <w:rPr>
            <w:rStyle w:val="Hyperlink"/>
            <w:rFonts w:asciiTheme="minorHAnsi" w:hAnsiTheme="minorHAnsi"/>
            <w:color w:val="auto"/>
            <w:sz w:val="24"/>
            <w:szCs w:val="24"/>
            <w:u w:val="none"/>
          </w:rPr>
          <w:t>polycistronic</w:t>
        </w:r>
      </w:hyperlink>
      <w:r w:rsidRPr="00FE4B79">
        <w:rPr>
          <w:rFonts w:asciiTheme="minorHAnsi" w:hAnsiTheme="minorHAnsi"/>
          <w:sz w:val="24"/>
          <w:szCs w:val="24"/>
        </w:rPr>
        <w:t xml:space="preserve"> rRNA precursor transcript contains the 5' external transcribed sequence (5' ETS), 18S rRNA, ITS1, 5.8S rRNA, ITS2, 28S rRNA and finally the 3'ETS. During rRNA maturation, ETS and ITS pieces are excised</w:t>
      </w:r>
      <w:r>
        <w:rPr>
          <w:rFonts w:asciiTheme="minorHAnsi" w:hAnsiTheme="minorHAnsi"/>
          <w:sz w:val="24"/>
          <w:szCs w:val="24"/>
        </w:rPr>
        <w:t>,</w:t>
      </w:r>
      <w:r w:rsidRPr="00FE4B79">
        <w:rPr>
          <w:rFonts w:asciiTheme="minorHAnsi" w:hAnsiTheme="minorHAnsi"/>
          <w:sz w:val="24"/>
          <w:szCs w:val="24"/>
        </w:rPr>
        <w:t xml:space="preserve"> and as </w:t>
      </w:r>
      <w:r w:rsidRPr="00FE4B79">
        <w:rPr>
          <w:rFonts w:asciiTheme="minorHAnsi" w:hAnsiTheme="minorHAnsi"/>
          <w:bCs/>
          <w:sz w:val="24"/>
          <w:szCs w:val="24"/>
        </w:rPr>
        <w:t>non-functional maturation by-products</w:t>
      </w:r>
      <w:r w:rsidRPr="00FE4B79">
        <w:rPr>
          <w:rFonts w:asciiTheme="minorHAnsi" w:hAnsiTheme="minorHAnsi"/>
          <w:sz w:val="24"/>
          <w:szCs w:val="24"/>
        </w:rPr>
        <w:t xml:space="preserve"> rapidly degraded. Genes encoding ribosomal RNA and spacers occur in </w:t>
      </w:r>
      <w:hyperlink r:id="rId15" w:tooltip="Tandem repeat" w:history="1">
        <w:r w:rsidRPr="00FE4B79">
          <w:rPr>
            <w:rStyle w:val="Hyperlink"/>
            <w:rFonts w:asciiTheme="minorHAnsi" w:hAnsiTheme="minorHAnsi"/>
            <w:color w:val="auto"/>
            <w:sz w:val="24"/>
            <w:szCs w:val="24"/>
            <w:u w:val="none"/>
          </w:rPr>
          <w:t>tandem repeats</w:t>
        </w:r>
      </w:hyperlink>
      <w:r w:rsidRPr="00FE4B79">
        <w:rPr>
          <w:rFonts w:asciiTheme="minorHAnsi" w:hAnsiTheme="minorHAnsi"/>
          <w:sz w:val="24"/>
          <w:szCs w:val="24"/>
        </w:rPr>
        <w:t xml:space="preserve"> that are thousands of copies long, each separated by regions of non-transcribed DNA termed </w:t>
      </w:r>
      <w:r w:rsidRPr="00FE4B79">
        <w:rPr>
          <w:rFonts w:asciiTheme="minorHAnsi" w:hAnsiTheme="minorHAnsi"/>
          <w:i/>
          <w:iCs/>
          <w:sz w:val="24"/>
          <w:szCs w:val="24"/>
        </w:rPr>
        <w:t>intergenic spacer</w:t>
      </w:r>
      <w:r w:rsidRPr="00FE4B79">
        <w:rPr>
          <w:rFonts w:asciiTheme="minorHAnsi" w:hAnsiTheme="minorHAnsi"/>
          <w:sz w:val="24"/>
          <w:szCs w:val="24"/>
        </w:rPr>
        <w:t xml:space="preserve"> (IGS) or </w:t>
      </w:r>
      <w:r w:rsidRPr="00FE4B79">
        <w:rPr>
          <w:rFonts w:asciiTheme="minorHAnsi" w:hAnsiTheme="minorHAnsi"/>
          <w:i/>
          <w:iCs/>
          <w:sz w:val="24"/>
          <w:szCs w:val="24"/>
        </w:rPr>
        <w:t>non-transcribed spacer</w:t>
      </w:r>
      <w:r w:rsidRPr="00FE4B79">
        <w:rPr>
          <w:rFonts w:asciiTheme="minorHAnsi" w:hAnsiTheme="minorHAnsi"/>
          <w:sz w:val="24"/>
          <w:szCs w:val="24"/>
        </w:rPr>
        <w:t xml:space="preserve"> (NTS). Sequence comparison of the ITS region is widely used in </w:t>
      </w:r>
      <w:hyperlink r:id="rId16" w:tooltip="Taxonomy" w:history="1">
        <w:r w:rsidRPr="00FE4B79">
          <w:rPr>
            <w:rStyle w:val="Hyperlink"/>
            <w:rFonts w:asciiTheme="minorHAnsi" w:hAnsiTheme="minorHAnsi"/>
            <w:color w:val="auto"/>
            <w:sz w:val="24"/>
            <w:szCs w:val="24"/>
            <w:u w:val="none"/>
          </w:rPr>
          <w:t>taxonomy</w:t>
        </w:r>
      </w:hyperlink>
      <w:r w:rsidRPr="00FE4B79">
        <w:rPr>
          <w:rFonts w:asciiTheme="minorHAnsi" w:hAnsiTheme="minorHAnsi"/>
          <w:sz w:val="24"/>
          <w:szCs w:val="24"/>
        </w:rPr>
        <w:t xml:space="preserve"> and </w:t>
      </w:r>
      <w:hyperlink r:id="rId17" w:tooltip="Molecular phylogeny" w:history="1">
        <w:r w:rsidRPr="00FE4B79">
          <w:rPr>
            <w:rStyle w:val="Hyperlink"/>
            <w:rFonts w:asciiTheme="minorHAnsi" w:hAnsiTheme="minorHAnsi"/>
            <w:color w:val="auto"/>
            <w:sz w:val="24"/>
            <w:szCs w:val="24"/>
            <w:u w:val="none"/>
          </w:rPr>
          <w:t>molecular phylogeny</w:t>
        </w:r>
      </w:hyperlink>
      <w:r w:rsidRPr="00FE4B79">
        <w:rPr>
          <w:rFonts w:asciiTheme="minorHAnsi" w:hAnsiTheme="minorHAnsi"/>
          <w:sz w:val="24"/>
          <w:szCs w:val="24"/>
        </w:rPr>
        <w:t xml:space="preserve"> because it a) is (due to the high copy number of rRNA genes) easy to amplify even from small quantities of DNA, and b) has a high degree of variation even between closely related species. This can be explained by the relatively low evolutionary pressure acting on such non-functional sequences</w:t>
      </w:r>
      <w:r>
        <w:rPr>
          <w:rFonts w:asciiTheme="minorHAnsi" w:hAnsiTheme="minorHAnsi"/>
          <w:sz w:val="24"/>
          <w:szCs w:val="24"/>
        </w:rPr>
        <w:t>.</w:t>
      </w:r>
    </w:p>
    <w:p w14:paraId="25B72A63" w14:textId="63DA5D11" w:rsidR="00206BAF" w:rsidRPr="00206BAF" w:rsidRDefault="00206BAF" w:rsidP="00206BAF">
      <w:pPr>
        <w:rPr>
          <w:rFonts w:ascii="Cambria" w:eastAsia="ＭＳ 明朝" w:hAnsi="Cambria" w:cs="Times New Roman"/>
        </w:rPr>
      </w:pPr>
      <w:r w:rsidRPr="00991CEA">
        <w:rPr>
          <w:rFonts w:ascii="Cambria" w:eastAsia="ＭＳ 明朝" w:hAnsi="Cambria" w:cs="Times New Roman"/>
          <w:b/>
        </w:rPr>
        <w:lastRenderedPageBreak/>
        <w:t>Fig 1.</w:t>
      </w:r>
      <w:r>
        <w:rPr>
          <w:rFonts w:ascii="Cambria" w:eastAsia="ＭＳ 明朝" w:hAnsi="Cambria" w:cs="Times New Roman"/>
        </w:rPr>
        <w:t xml:space="preserve"> A flow chart to show the steps involved in the procedure</w:t>
      </w:r>
      <w:r>
        <w:rPr>
          <w:rFonts w:ascii="Cambria" w:eastAsia="ＭＳ 明朝" w:hAnsi="Cambria" w:cs="Times New Roman"/>
        </w:rPr>
        <w:t>.</w:t>
      </w:r>
    </w:p>
    <w:p w14:paraId="7EE1D9D3" w14:textId="2AEB637B" w:rsidR="00206BAF" w:rsidRPr="00FE4B79" w:rsidRDefault="00206BAF" w:rsidP="006E3BC4">
      <w:pPr>
        <w:pStyle w:val="NormalWeb"/>
        <w:rPr>
          <w:rFonts w:asciiTheme="minorHAnsi" w:hAnsiTheme="minorHAnsi"/>
          <w:sz w:val="24"/>
          <w:szCs w:val="24"/>
        </w:rPr>
      </w:pPr>
    </w:p>
    <w:p w14:paraId="2F811CFB" w14:textId="77777777" w:rsidR="00565249" w:rsidRDefault="00565249">
      <w:pPr>
        <w:rPr>
          <w:rFonts w:ascii="Cambria" w:eastAsia="ＭＳ 明朝" w:hAnsi="Cambria" w:cs="Times New Roman"/>
        </w:rPr>
      </w:pPr>
      <w:r w:rsidRPr="00565249">
        <w:rPr>
          <w:rFonts w:ascii="Cambria" w:eastAsia="ＭＳ 明朝" w:hAnsi="Cambria" w:cs="Times New Roman"/>
          <w:noProof/>
          <w:lang w:eastAsia="en-US"/>
        </w:rPr>
        <w:drawing>
          <wp:inline distT="0" distB="0" distL="0" distR="0" wp14:anchorId="524EA43B" wp14:editId="67FCDC29">
            <wp:extent cx="3200400" cy="6639016"/>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6639016"/>
                    </a:xfrm>
                    <a:prstGeom prst="rect">
                      <a:avLst/>
                    </a:prstGeom>
                    <a:noFill/>
                    <a:ln>
                      <a:noFill/>
                    </a:ln>
                  </pic:spPr>
                </pic:pic>
              </a:graphicData>
            </a:graphic>
          </wp:inline>
        </w:drawing>
      </w:r>
      <w:r>
        <w:rPr>
          <w:rFonts w:ascii="Cambria" w:eastAsia="ＭＳ 明朝" w:hAnsi="Cambria" w:cs="Times New Roman"/>
        </w:rPr>
        <w:t xml:space="preserve"> </w:t>
      </w:r>
    </w:p>
    <w:p w14:paraId="78F3130F" w14:textId="77777777" w:rsidR="00565249" w:rsidRDefault="00565249">
      <w:pPr>
        <w:rPr>
          <w:rFonts w:ascii="Cambria" w:eastAsia="ＭＳ 明朝" w:hAnsi="Cambria" w:cs="Times New Roman"/>
        </w:rPr>
      </w:pPr>
    </w:p>
    <w:p w14:paraId="4C4C6204" w14:textId="77777777" w:rsidR="00565249" w:rsidRDefault="00565249" w:rsidP="00565249">
      <w:pPr>
        <w:rPr>
          <w:rFonts w:ascii="Cambria" w:eastAsia="ＭＳ 明朝" w:hAnsi="Cambria" w:cs="Times New Roman"/>
          <w:b/>
        </w:rPr>
      </w:pPr>
    </w:p>
    <w:p w14:paraId="29592126" w14:textId="77777777" w:rsidR="00565249" w:rsidRDefault="00565249" w:rsidP="00565249">
      <w:pPr>
        <w:rPr>
          <w:rFonts w:ascii="Cambria" w:eastAsia="ＭＳ 明朝" w:hAnsi="Cambria" w:cs="Times New Roman"/>
          <w:b/>
        </w:rPr>
      </w:pPr>
    </w:p>
    <w:p w14:paraId="51CC0992" w14:textId="07418E0C" w:rsidR="004105FA" w:rsidRDefault="004105FA">
      <w:pPr>
        <w:rPr>
          <w:rFonts w:ascii="Cambria" w:eastAsia="ＭＳ 明朝" w:hAnsi="Cambria" w:cs="Times New Roman"/>
        </w:rPr>
      </w:pPr>
      <w:r>
        <w:rPr>
          <w:rFonts w:ascii="Cambria" w:eastAsia="ＭＳ 明朝" w:hAnsi="Cambria" w:cs="Times New Roman"/>
        </w:rPr>
        <w:br w:type="page"/>
      </w:r>
    </w:p>
    <w:p w14:paraId="54A37D8A" w14:textId="38CAA7A7" w:rsidR="00604B72" w:rsidRDefault="0016220E" w:rsidP="004D0FDF">
      <w:pPr>
        <w:rPr>
          <w:rFonts w:ascii="Cambria" w:eastAsia="ＭＳ 明朝" w:hAnsi="Cambria" w:cs="Times New Roman"/>
        </w:rPr>
      </w:pPr>
      <w:r>
        <w:rPr>
          <w:rFonts w:ascii="Cambria" w:eastAsia="ＭＳ 明朝" w:hAnsi="Cambria" w:cs="Times New Roman"/>
          <w:b/>
        </w:rPr>
        <w:t>Fig 2</w:t>
      </w:r>
      <w:r w:rsidR="00604B72">
        <w:rPr>
          <w:rFonts w:ascii="Cambria" w:eastAsia="ＭＳ 明朝" w:hAnsi="Cambria" w:cs="Times New Roman"/>
          <w:b/>
        </w:rPr>
        <w:t xml:space="preserve">. </w:t>
      </w:r>
      <w:r w:rsidR="00604B72">
        <w:rPr>
          <w:rFonts w:ascii="Cambria" w:eastAsia="ＭＳ 明朝" w:hAnsi="Cambria" w:cs="Times New Roman"/>
        </w:rPr>
        <w:t>P</w:t>
      </w:r>
      <w:r w:rsidR="00604B72" w:rsidRPr="00604B72">
        <w:rPr>
          <w:rFonts w:ascii="Cambria" w:eastAsia="ＭＳ 明朝" w:hAnsi="Cambria" w:cs="Times New Roman"/>
        </w:rPr>
        <w:t>rimer locations</w:t>
      </w:r>
      <w:r w:rsidR="00604B72">
        <w:rPr>
          <w:rFonts w:ascii="Cambria" w:eastAsia="ＭＳ 明朝" w:hAnsi="Cambria" w:cs="Times New Roman"/>
        </w:rPr>
        <w:t xml:space="preserve"> of ITS4 and ITS5</w:t>
      </w:r>
    </w:p>
    <w:p w14:paraId="5A49FB0D" w14:textId="77777777" w:rsidR="00604B72" w:rsidRDefault="00604B72" w:rsidP="004D0FDF">
      <w:pPr>
        <w:rPr>
          <w:rFonts w:ascii="Cambria" w:eastAsia="ＭＳ 明朝" w:hAnsi="Cambria" w:cs="Times New Roman"/>
        </w:rPr>
      </w:pPr>
    </w:p>
    <w:p w14:paraId="63310AEC" w14:textId="77777777" w:rsidR="00604B72" w:rsidRDefault="00604B72" w:rsidP="004D0FDF">
      <w:pPr>
        <w:rPr>
          <w:rFonts w:ascii="Cambria" w:eastAsia="ＭＳ 明朝" w:hAnsi="Cambria" w:cs="Times New Roman"/>
        </w:rPr>
      </w:pPr>
    </w:p>
    <w:p w14:paraId="6B7CDA78" w14:textId="77777777" w:rsidR="00604B72" w:rsidRDefault="00604B72" w:rsidP="004D0FDF">
      <w:pPr>
        <w:rPr>
          <w:rFonts w:ascii="Cambria" w:eastAsia="ＭＳ 明朝" w:hAnsi="Cambria" w:cs="Times New Roman"/>
        </w:rPr>
      </w:pPr>
    </w:p>
    <w:p w14:paraId="03919302" w14:textId="77777777" w:rsidR="00604B72" w:rsidRDefault="00604B72" w:rsidP="004D0FDF">
      <w:pPr>
        <w:rPr>
          <w:rFonts w:ascii="Cambria" w:eastAsia="ＭＳ 明朝" w:hAnsi="Cambria" w:cs="Times New Roman"/>
        </w:rPr>
      </w:pPr>
    </w:p>
    <w:p w14:paraId="50D7A51B" w14:textId="55C510AC" w:rsidR="00604B72" w:rsidRDefault="00604B72" w:rsidP="004D0FDF">
      <w:pPr>
        <w:rPr>
          <w:rFonts w:ascii="Cambria" w:eastAsia="ＭＳ 明朝" w:hAnsi="Cambria" w:cs="Times New Roman"/>
          <w:b/>
        </w:rPr>
      </w:pPr>
      <w:r>
        <w:rPr>
          <w:rFonts w:ascii="Cambria" w:eastAsia="ＭＳ 明朝" w:hAnsi="Cambria" w:cs="Times New Roman"/>
          <w:b/>
          <w:noProof/>
          <w:lang w:eastAsia="en-US"/>
        </w:rPr>
        <w:drawing>
          <wp:inline distT="0" distB="0" distL="0" distR="0" wp14:anchorId="6998638A" wp14:editId="7E61FE11">
            <wp:extent cx="5943600" cy="4665491"/>
            <wp:effectExtent l="0" t="0" r="0" b="825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665491"/>
                    </a:xfrm>
                    <a:prstGeom prst="rect">
                      <a:avLst/>
                    </a:prstGeom>
                    <a:noFill/>
                    <a:ln>
                      <a:noFill/>
                    </a:ln>
                  </pic:spPr>
                </pic:pic>
              </a:graphicData>
            </a:graphic>
          </wp:inline>
        </w:drawing>
      </w:r>
    </w:p>
    <w:p w14:paraId="0B97D9C8" w14:textId="77777777" w:rsidR="00604B72" w:rsidRDefault="00604B72" w:rsidP="004D0FDF">
      <w:pPr>
        <w:rPr>
          <w:rFonts w:ascii="Cambria" w:eastAsia="ＭＳ 明朝" w:hAnsi="Cambria" w:cs="Times New Roman"/>
          <w:b/>
        </w:rPr>
      </w:pPr>
    </w:p>
    <w:p w14:paraId="5B8A8C49" w14:textId="77777777" w:rsidR="00604B72" w:rsidRDefault="00604B72" w:rsidP="004D0FDF">
      <w:pPr>
        <w:rPr>
          <w:rFonts w:ascii="Cambria" w:eastAsia="ＭＳ 明朝" w:hAnsi="Cambria" w:cs="Times New Roman"/>
          <w:b/>
        </w:rPr>
      </w:pPr>
    </w:p>
    <w:p w14:paraId="4676DF21" w14:textId="77777777" w:rsidR="00604B72" w:rsidRDefault="00604B72">
      <w:pPr>
        <w:rPr>
          <w:rFonts w:ascii="Cambria" w:eastAsia="ＭＳ 明朝" w:hAnsi="Cambria" w:cs="Times New Roman"/>
          <w:b/>
        </w:rPr>
      </w:pPr>
      <w:r>
        <w:rPr>
          <w:rFonts w:ascii="Cambria" w:eastAsia="ＭＳ 明朝" w:hAnsi="Cambria" w:cs="Times New Roman"/>
          <w:b/>
        </w:rPr>
        <w:br w:type="page"/>
      </w:r>
    </w:p>
    <w:p w14:paraId="6C67378C" w14:textId="059A05D2" w:rsidR="00565249" w:rsidRDefault="0016220E" w:rsidP="004D0FDF">
      <w:pPr>
        <w:rPr>
          <w:rFonts w:ascii="Cambria" w:eastAsia="ＭＳ 明朝" w:hAnsi="Cambria" w:cs="Times New Roman"/>
        </w:rPr>
      </w:pPr>
      <w:r>
        <w:rPr>
          <w:rFonts w:ascii="Cambria" w:eastAsia="ＭＳ 明朝" w:hAnsi="Cambria" w:cs="Times New Roman"/>
          <w:b/>
        </w:rPr>
        <w:t>Fig 3</w:t>
      </w:r>
      <w:r w:rsidR="004105FA" w:rsidRPr="004105FA">
        <w:rPr>
          <w:rFonts w:ascii="Cambria" w:eastAsia="ＭＳ 明朝" w:hAnsi="Cambria" w:cs="Times New Roman"/>
          <w:b/>
        </w:rPr>
        <w:t>.</w:t>
      </w:r>
      <w:r w:rsidR="00991CEA">
        <w:rPr>
          <w:rFonts w:ascii="Cambria" w:eastAsia="ＭＳ 明朝" w:hAnsi="Cambria" w:cs="Times New Roman"/>
          <w:b/>
        </w:rPr>
        <w:t xml:space="preserve"> </w:t>
      </w:r>
      <w:r w:rsidR="00991CEA" w:rsidRPr="00991CEA">
        <w:rPr>
          <w:rFonts w:ascii="Cambria" w:eastAsia="ＭＳ 明朝" w:hAnsi="Cambria" w:cs="Times New Roman"/>
        </w:rPr>
        <w:t>The procedure</w:t>
      </w:r>
      <w:r w:rsidR="00991CEA">
        <w:rPr>
          <w:rFonts w:ascii="Cambria" w:eastAsia="ＭＳ 明朝" w:hAnsi="Cambria" w:cs="Times New Roman"/>
        </w:rPr>
        <w:t xml:space="preserve"> for the two-step PCR</w:t>
      </w:r>
    </w:p>
    <w:p w14:paraId="389F160B" w14:textId="77777777" w:rsidR="00991CEA" w:rsidRPr="00991CEA" w:rsidRDefault="00991CEA" w:rsidP="004D0FDF">
      <w:pPr>
        <w:rPr>
          <w:rFonts w:ascii="Cambria" w:eastAsia="ＭＳ 明朝" w:hAnsi="Cambria" w:cs="Times New Roman"/>
        </w:rPr>
      </w:pPr>
    </w:p>
    <w:p w14:paraId="0B3EA9C4" w14:textId="77777777" w:rsidR="004105FA" w:rsidRDefault="004105FA" w:rsidP="004D0FDF">
      <w:pPr>
        <w:rPr>
          <w:rFonts w:ascii="Cambria" w:eastAsia="ＭＳ 明朝" w:hAnsi="Cambria" w:cs="Times New Roman"/>
        </w:rPr>
      </w:pPr>
    </w:p>
    <w:p w14:paraId="0D73DF47" w14:textId="77777777" w:rsidR="004105FA" w:rsidRDefault="004105FA" w:rsidP="004D0FDF">
      <w:pPr>
        <w:rPr>
          <w:rFonts w:ascii="Cambria" w:eastAsia="ＭＳ 明朝" w:hAnsi="Cambria" w:cs="Times New Roman"/>
        </w:rPr>
      </w:pPr>
      <w:r w:rsidRPr="007E6792">
        <w:rPr>
          <w:rFonts w:ascii="Cambria" w:eastAsia="ＭＳ 明朝" w:hAnsi="Cambria" w:cs="Times New Roman"/>
          <w:noProof/>
          <w:lang w:eastAsia="en-US"/>
        </w:rPr>
        <w:drawing>
          <wp:inline distT="0" distB="0" distL="0" distR="0" wp14:anchorId="03654A00" wp14:editId="04ADFA36">
            <wp:extent cx="6550788" cy="4109640"/>
            <wp:effectExtent l="0" t="0" r="0" b="571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50922" cy="4109724"/>
                    </a:xfrm>
                    <a:prstGeom prst="rect">
                      <a:avLst/>
                    </a:prstGeom>
                    <a:noFill/>
                    <a:ln>
                      <a:noFill/>
                    </a:ln>
                  </pic:spPr>
                </pic:pic>
              </a:graphicData>
            </a:graphic>
          </wp:inline>
        </w:drawing>
      </w:r>
    </w:p>
    <w:p w14:paraId="676C0B7A" w14:textId="77777777" w:rsidR="004105FA" w:rsidRDefault="004105FA" w:rsidP="004D0FDF">
      <w:pPr>
        <w:rPr>
          <w:rFonts w:ascii="Cambria" w:eastAsia="ＭＳ 明朝" w:hAnsi="Cambria" w:cs="Times New Roman"/>
        </w:rPr>
      </w:pPr>
    </w:p>
    <w:p w14:paraId="37012D26" w14:textId="77777777" w:rsidR="004105FA" w:rsidRDefault="004105FA" w:rsidP="004D0FDF">
      <w:pPr>
        <w:rPr>
          <w:rFonts w:ascii="Cambria" w:eastAsia="ＭＳ 明朝" w:hAnsi="Cambria" w:cs="Times New Roman"/>
        </w:rPr>
      </w:pPr>
    </w:p>
    <w:p w14:paraId="621B90C0" w14:textId="5E7D5537" w:rsidR="004D0FDF" w:rsidRPr="00206BAF" w:rsidRDefault="00265E0C" w:rsidP="004D0FDF">
      <w:pPr>
        <w:rPr>
          <w:rFonts w:ascii="Cambria" w:eastAsia="ＭＳ 明朝" w:hAnsi="Cambria" w:cs="Times New Roman"/>
        </w:rPr>
      </w:pPr>
      <w:r>
        <w:rPr>
          <w:rFonts w:ascii="Cambria" w:eastAsia="ＭＳ 明朝" w:hAnsi="Cambria" w:cs="Times New Roman"/>
        </w:rPr>
        <w:t>3</w:t>
      </w:r>
      <w:r w:rsidR="004D0FDF" w:rsidRPr="000472A6">
        <w:rPr>
          <w:rFonts w:ascii="Cambria" w:eastAsia="ＭＳ 明朝" w:hAnsi="Cambria" w:cs="Times New Roman"/>
        </w:rPr>
        <w:t>.</w:t>
      </w:r>
      <w:r w:rsidR="004D0FDF">
        <w:rPr>
          <w:rFonts w:ascii="Cambria" w:eastAsia="ＭＳ 明朝" w:hAnsi="Cambria" w:cs="Times New Roman"/>
          <w:b/>
        </w:rPr>
        <w:t xml:space="preserve">  MATERIALS REQUIRED</w:t>
      </w:r>
    </w:p>
    <w:p w14:paraId="568CFE59" w14:textId="77777777" w:rsidR="004D0FDF" w:rsidRDefault="004D0FDF" w:rsidP="004D0FDF">
      <w:pPr>
        <w:rPr>
          <w:rFonts w:ascii="Cambria" w:eastAsia="ＭＳ 明朝" w:hAnsi="Cambria" w:cs="Times New Roman"/>
        </w:rPr>
      </w:pPr>
    </w:p>
    <w:p w14:paraId="7A068C0C" w14:textId="65FC02B4" w:rsidR="004D0FDF" w:rsidRPr="00212185" w:rsidRDefault="00212185" w:rsidP="004D0FDF">
      <w:pPr>
        <w:rPr>
          <w:rFonts w:ascii="Calisto MT" w:hAnsi="Calisto MT"/>
        </w:rPr>
      </w:pPr>
      <w:r>
        <w:rPr>
          <w:rFonts w:ascii="Cambria" w:eastAsia="ＭＳ 明朝" w:hAnsi="Cambria" w:cs="Times New Roman"/>
        </w:rPr>
        <w:t xml:space="preserve"> </w:t>
      </w:r>
      <w:r w:rsidRPr="00212185">
        <w:rPr>
          <w:rFonts w:ascii="Cambria" w:eastAsia="ＭＳ 明朝" w:hAnsi="Cambria" w:cs="Times New Roman"/>
        </w:rPr>
        <w:t xml:space="preserve">- </w:t>
      </w:r>
      <w:r w:rsidRPr="00212185">
        <w:rPr>
          <w:rFonts w:ascii="Calisto MT" w:hAnsi="Calisto MT"/>
        </w:rPr>
        <w:t xml:space="preserve">Agilent Bioanalyzer 2100 </w:t>
      </w:r>
      <w:r w:rsidRPr="00212185">
        <w:rPr>
          <w:rFonts w:ascii="Calisto MT" w:hAnsi="Calisto MT"/>
          <w:color w:val="0000FF"/>
        </w:rPr>
        <w:t>(Agilent Technologies, Cat no. G2940CA)</w:t>
      </w:r>
    </w:p>
    <w:p w14:paraId="1000A1EA" w14:textId="2062A31A" w:rsidR="00212185" w:rsidRDefault="00120AAA" w:rsidP="004D0FDF">
      <w:pPr>
        <w:rPr>
          <w:rFonts w:ascii="Cambria" w:eastAsia="ＭＳ 明朝" w:hAnsi="Cambria" w:cs="Times New Roman"/>
        </w:rPr>
      </w:pPr>
      <w:r>
        <w:rPr>
          <w:rFonts w:ascii="Cambria" w:eastAsia="ＭＳ 明朝" w:hAnsi="Cambria" w:cs="Times New Roman"/>
        </w:rPr>
        <w:t xml:space="preserve"> </w:t>
      </w:r>
      <w:r w:rsidR="00212185">
        <w:rPr>
          <w:rFonts w:ascii="Cambria" w:eastAsia="ＭＳ 明朝" w:hAnsi="Cambria" w:cs="Times New Roman"/>
        </w:rPr>
        <w:t>- DNA 1000 Kit (</w:t>
      </w:r>
      <w:r w:rsidR="00212185" w:rsidRPr="00212185">
        <w:rPr>
          <w:rFonts w:ascii="Cambria" w:eastAsia="ＭＳ 明朝" w:hAnsi="Cambria" w:cs="Times New Roman"/>
          <w:color w:val="0000FF"/>
        </w:rPr>
        <w:t>Agilent Technologies #5067-1504</w:t>
      </w:r>
      <w:r w:rsidR="00212185">
        <w:rPr>
          <w:rFonts w:ascii="Cambria" w:eastAsia="ＭＳ 明朝" w:hAnsi="Cambria" w:cs="Times New Roman"/>
        </w:rPr>
        <w:t>)</w:t>
      </w:r>
    </w:p>
    <w:p w14:paraId="6837A1E4" w14:textId="15081900" w:rsidR="004D0FDF" w:rsidRDefault="001253A1" w:rsidP="004D0FDF">
      <w:pPr>
        <w:rPr>
          <w:rFonts w:ascii="Cambria" w:eastAsia="ＭＳ 明朝" w:hAnsi="Cambria" w:cs="Times New Roman"/>
        </w:rPr>
      </w:pPr>
      <w:r>
        <w:rPr>
          <w:rFonts w:ascii="Cambria" w:eastAsia="ＭＳ 明朝" w:hAnsi="Cambria" w:cs="Times New Roman"/>
        </w:rPr>
        <w:t xml:space="preserve"> </w:t>
      </w:r>
      <w:r w:rsidR="00120AAA">
        <w:rPr>
          <w:rFonts w:ascii="Cambria" w:eastAsia="ＭＳ 明朝" w:hAnsi="Cambria" w:cs="Times New Roman"/>
        </w:rPr>
        <w:t>- PCR grade water, nuclease-free water</w:t>
      </w:r>
    </w:p>
    <w:p w14:paraId="7289B399" w14:textId="2C4C8696" w:rsidR="001253A1" w:rsidRDefault="004D0FDF" w:rsidP="001253A1">
      <w:pPr>
        <w:rPr>
          <w:rFonts w:ascii="Calisto MT" w:hAnsi="Calisto MT"/>
          <w:color w:val="0000FF"/>
        </w:rPr>
      </w:pPr>
      <w:r w:rsidRPr="001253A1">
        <w:rPr>
          <w:rFonts w:ascii="Cambria" w:eastAsia="ＭＳ 明朝" w:hAnsi="Cambria" w:cs="Times New Roman"/>
        </w:rPr>
        <w:t xml:space="preserve"> - Quant-IT Picogreen dsDNA Assay kit (Invitrogen, </w:t>
      </w:r>
      <w:r w:rsidRPr="001253A1">
        <w:rPr>
          <w:rFonts w:ascii="Cambria" w:eastAsia="ＭＳ 明朝" w:hAnsi="Cambria" w:cs="Times New Roman"/>
          <w:color w:val="0000FF"/>
        </w:rPr>
        <w:t>Cat# P7589</w:t>
      </w:r>
      <w:r w:rsidR="001253A1" w:rsidRPr="001253A1">
        <w:rPr>
          <w:rFonts w:ascii="Cambria" w:eastAsia="ＭＳ 明朝" w:hAnsi="Cambria" w:cs="Times New Roman"/>
          <w:color w:val="0000FF"/>
        </w:rPr>
        <w:t xml:space="preserve">) </w:t>
      </w:r>
    </w:p>
    <w:p w14:paraId="43202ED7" w14:textId="3B1EEBE5" w:rsidR="001253A1" w:rsidRPr="001253A1" w:rsidRDefault="001253A1" w:rsidP="001253A1">
      <w:pPr>
        <w:rPr>
          <w:rFonts w:ascii="Calisto MT" w:hAnsi="Calisto MT"/>
        </w:rPr>
      </w:pPr>
      <w:r>
        <w:rPr>
          <w:rFonts w:ascii="Calisto MT" w:hAnsi="Calisto MT"/>
        </w:rPr>
        <w:t xml:space="preserve"> -</w:t>
      </w:r>
      <w:r w:rsidRPr="001253A1">
        <w:rPr>
          <w:rFonts w:ascii="Calisto MT" w:hAnsi="Calisto MT"/>
        </w:rPr>
        <w:t xml:space="preserve">TBS-380 </w:t>
      </w:r>
      <w:r w:rsidRPr="001253A1">
        <w:rPr>
          <w:rFonts w:ascii="Calisto MT" w:hAnsi="Calisto MT"/>
          <w:color w:val="0000FF"/>
        </w:rPr>
        <w:t xml:space="preserve">(now QuantiFluor™-ST fluorometer, Promega) </w:t>
      </w:r>
      <w:r w:rsidRPr="001253A1">
        <w:rPr>
          <w:rFonts w:ascii="Calisto MT" w:hAnsi="Calisto MT"/>
        </w:rPr>
        <w:t xml:space="preserve">or equivalent, or Nanodrop 2000 spectrophotometer </w:t>
      </w:r>
      <w:r w:rsidRPr="001253A1">
        <w:rPr>
          <w:rFonts w:ascii="Calisto MT" w:hAnsi="Calisto MT"/>
          <w:color w:val="0000FF"/>
        </w:rPr>
        <w:t>(Fisher Scientific #ND-2000)</w:t>
      </w:r>
    </w:p>
    <w:p w14:paraId="7DF52568" w14:textId="77777777" w:rsidR="004D0FDF" w:rsidRDefault="004D0FDF" w:rsidP="004D0FDF">
      <w:pPr>
        <w:rPr>
          <w:rFonts w:ascii="Cambria" w:eastAsia="ＭＳ 明朝" w:hAnsi="Cambria" w:cs="Times New Roman"/>
        </w:rPr>
      </w:pPr>
      <w:r>
        <w:rPr>
          <w:rFonts w:ascii="Cambria" w:eastAsia="ＭＳ 明朝" w:hAnsi="Cambria" w:cs="Times New Roman"/>
        </w:rPr>
        <w:t xml:space="preserve"> - 96-well plate reader (</w:t>
      </w:r>
      <w:r w:rsidRPr="00120AAA">
        <w:rPr>
          <w:rFonts w:ascii="Cambria" w:eastAsia="ＭＳ 明朝" w:hAnsi="Cambria" w:cs="Times New Roman"/>
          <w:color w:val="0000FF"/>
        </w:rPr>
        <w:t>Molecular Devices, SPECTRA max GEMINI XPS</w:t>
      </w:r>
      <w:r>
        <w:rPr>
          <w:rFonts w:ascii="Cambria" w:eastAsia="ＭＳ 明朝" w:hAnsi="Cambria" w:cs="Times New Roman"/>
        </w:rPr>
        <w:t>)</w:t>
      </w:r>
    </w:p>
    <w:p w14:paraId="40A8F826" w14:textId="77777777" w:rsidR="004D0FDF" w:rsidRDefault="004D0FDF" w:rsidP="004D0FDF">
      <w:pPr>
        <w:rPr>
          <w:rFonts w:ascii="Cambria" w:eastAsia="ＭＳ 明朝" w:hAnsi="Cambria" w:cs="Times New Roman"/>
        </w:rPr>
      </w:pPr>
      <w:r>
        <w:rPr>
          <w:rFonts w:ascii="Cambria" w:eastAsia="ＭＳ 明朝" w:hAnsi="Cambria" w:cs="Times New Roman"/>
        </w:rPr>
        <w:t xml:space="preserve"> - 96-well plates and adhesive sealing for 96-well plates</w:t>
      </w:r>
    </w:p>
    <w:p w14:paraId="2D449CE7" w14:textId="77777777" w:rsidR="004D0FDF" w:rsidRDefault="004D0FDF" w:rsidP="004D0FDF">
      <w:pPr>
        <w:rPr>
          <w:rFonts w:ascii="Cambria" w:eastAsia="ＭＳ 明朝" w:hAnsi="Cambria" w:cs="Times New Roman"/>
        </w:rPr>
      </w:pPr>
      <w:r>
        <w:rPr>
          <w:rFonts w:ascii="Cambria" w:eastAsia="ＭＳ 明朝" w:hAnsi="Cambria" w:cs="Times New Roman"/>
        </w:rPr>
        <w:t xml:space="preserve"> - 96-well black plates (</w:t>
      </w:r>
      <w:r w:rsidRPr="00120AAA">
        <w:rPr>
          <w:rFonts w:ascii="Cambria" w:eastAsia="ＭＳ 明朝" w:hAnsi="Cambria" w:cs="Times New Roman"/>
          <w:color w:val="0000FF"/>
        </w:rPr>
        <w:t>Greiner bio-one, FIA-Plate Black 96 well, flat bottom, med binding</w:t>
      </w:r>
      <w:r>
        <w:rPr>
          <w:rFonts w:ascii="Cambria" w:eastAsia="ＭＳ 明朝" w:hAnsi="Cambria" w:cs="Times New Roman"/>
        </w:rPr>
        <w:t>)</w:t>
      </w:r>
    </w:p>
    <w:p w14:paraId="19D559E1" w14:textId="61F98427" w:rsidR="00212185" w:rsidRPr="00212185" w:rsidRDefault="00212185" w:rsidP="00212185">
      <w:pPr>
        <w:rPr>
          <w:rFonts w:ascii="Calisto MT" w:hAnsi="Calisto MT"/>
          <w:color w:val="0000FF"/>
        </w:rPr>
      </w:pPr>
      <w:r>
        <w:rPr>
          <w:rFonts w:ascii="Calisto MT" w:hAnsi="Calisto MT"/>
        </w:rPr>
        <w:t xml:space="preserve"> </w:t>
      </w:r>
      <w:r w:rsidRPr="00212185">
        <w:rPr>
          <w:rFonts w:ascii="Calisto MT" w:hAnsi="Calisto MT"/>
        </w:rPr>
        <w:softHyphen/>
      </w:r>
      <w:r w:rsidRPr="00212185">
        <w:rPr>
          <w:rFonts w:ascii="Calisto MT" w:hAnsi="Calisto MT"/>
        </w:rPr>
        <w:softHyphen/>
        <w:t xml:space="preserve">-Horizontal gel apparatus </w:t>
      </w:r>
      <w:r w:rsidRPr="00212185">
        <w:rPr>
          <w:rFonts w:ascii="Calisto MT" w:hAnsi="Calisto MT"/>
          <w:color w:val="0000FF"/>
        </w:rPr>
        <w:t>(e.g. VWR, Cat no. 89032-290, 89032-288)</w:t>
      </w:r>
    </w:p>
    <w:p w14:paraId="28E5D75E" w14:textId="3EC7D71A" w:rsidR="00212185" w:rsidRPr="00212185" w:rsidRDefault="00212185" w:rsidP="00212185">
      <w:pPr>
        <w:rPr>
          <w:rFonts w:ascii="Calisto MT" w:hAnsi="Calisto MT"/>
        </w:rPr>
      </w:pPr>
      <w:r>
        <w:rPr>
          <w:rFonts w:ascii="Calisto MT" w:hAnsi="Calisto MT"/>
        </w:rPr>
        <w:t xml:space="preserve"> -</w:t>
      </w:r>
      <w:r w:rsidRPr="00212185">
        <w:rPr>
          <w:rFonts w:ascii="Calisto MT" w:hAnsi="Calisto MT"/>
        </w:rPr>
        <w:t xml:space="preserve">UV transilluminator </w:t>
      </w:r>
      <w:r w:rsidRPr="00212185">
        <w:rPr>
          <w:rFonts w:ascii="Calisto MT" w:hAnsi="Calisto MT"/>
          <w:color w:val="0000FF"/>
        </w:rPr>
        <w:t>(e.g. VWR, Cat no. 89131-446)</w:t>
      </w:r>
    </w:p>
    <w:p w14:paraId="148407B2" w14:textId="2A8E3807" w:rsidR="00212185" w:rsidRPr="00212185" w:rsidRDefault="00212185" w:rsidP="00212185">
      <w:pPr>
        <w:rPr>
          <w:rFonts w:ascii="Calisto MT" w:hAnsi="Calisto MT"/>
          <w:sz w:val="20"/>
          <w:szCs w:val="20"/>
        </w:rPr>
      </w:pPr>
      <w:r>
        <w:rPr>
          <w:rFonts w:ascii="Calisto MT" w:hAnsi="Calisto MT"/>
        </w:rPr>
        <w:t xml:space="preserve"> -</w:t>
      </w:r>
      <w:r w:rsidRPr="00212185">
        <w:rPr>
          <w:rFonts w:ascii="Calisto MT" w:hAnsi="Calisto MT"/>
        </w:rPr>
        <w:t xml:space="preserve">Thermocycler </w:t>
      </w:r>
      <w:r w:rsidRPr="00212185">
        <w:rPr>
          <w:rFonts w:ascii="Calisto MT" w:hAnsi="Calisto MT"/>
          <w:color w:val="0000FF"/>
        </w:rPr>
        <w:t>(e.g. Applied Biosystems, Cat no. 4314445 and N8050200)</w:t>
      </w:r>
    </w:p>
    <w:p w14:paraId="1EDF1326" w14:textId="2E6646B8" w:rsidR="00FD60A6" w:rsidRDefault="00FD60A6" w:rsidP="004D0FDF">
      <w:pPr>
        <w:rPr>
          <w:rFonts w:ascii="Cambria" w:eastAsia="ＭＳ 明朝" w:hAnsi="Cambria" w:cs="Times New Roman"/>
        </w:rPr>
      </w:pPr>
      <w:r>
        <w:rPr>
          <w:rFonts w:ascii="Cambria" w:eastAsia="ＭＳ 明朝" w:hAnsi="Cambria" w:cs="Times New Roman"/>
        </w:rPr>
        <w:t>- Ethidium Bromi</w:t>
      </w:r>
      <w:r w:rsidR="00120AAA">
        <w:rPr>
          <w:rFonts w:ascii="Cambria" w:eastAsia="ＭＳ 明朝" w:hAnsi="Cambria" w:cs="Times New Roman"/>
        </w:rPr>
        <w:t xml:space="preserve">de </w:t>
      </w:r>
      <w:r w:rsidR="00FB0E6C">
        <w:rPr>
          <w:rFonts w:ascii="Cambria" w:eastAsia="ＭＳ 明朝" w:hAnsi="Cambria" w:cs="Times New Roman"/>
        </w:rPr>
        <w:t xml:space="preserve">solution </w:t>
      </w:r>
      <w:r w:rsidR="00120AAA">
        <w:rPr>
          <w:rFonts w:ascii="Cambria" w:eastAsia="ＭＳ 明朝" w:hAnsi="Cambria" w:cs="Times New Roman"/>
        </w:rPr>
        <w:t xml:space="preserve">(10mg/ml stock concentration) or GelRed Nucleic Acid Stain </w:t>
      </w:r>
      <w:r>
        <w:rPr>
          <w:rFonts w:ascii="Cambria" w:eastAsia="ＭＳ 明朝" w:hAnsi="Cambria" w:cs="Times New Roman"/>
        </w:rPr>
        <w:t>(</w:t>
      </w:r>
      <w:r w:rsidRPr="00120AAA">
        <w:rPr>
          <w:rFonts w:ascii="Cambria" w:eastAsia="ＭＳ 明朝" w:hAnsi="Cambria" w:cs="Times New Roman"/>
          <w:color w:val="0000FF"/>
        </w:rPr>
        <w:t>Phenix</w:t>
      </w:r>
      <w:r w:rsidR="00120AAA" w:rsidRPr="00120AAA">
        <w:rPr>
          <w:rFonts w:ascii="Cambria" w:eastAsia="ＭＳ 明朝" w:hAnsi="Cambria" w:cs="Times New Roman"/>
          <w:color w:val="0000FF"/>
        </w:rPr>
        <w:t xml:space="preserve"> Research Products, cat#RGB-4103</w:t>
      </w:r>
      <w:r w:rsidR="00120AAA">
        <w:rPr>
          <w:rFonts w:ascii="Cambria" w:eastAsia="ＭＳ 明朝" w:hAnsi="Cambria" w:cs="Times New Roman"/>
        </w:rPr>
        <w:t>)</w:t>
      </w:r>
    </w:p>
    <w:p w14:paraId="3A123763" w14:textId="77777777" w:rsidR="009B4E05" w:rsidRDefault="009142BD">
      <w:pPr>
        <w:rPr>
          <w:rFonts w:ascii="Cambria" w:eastAsia="ＭＳ 明朝" w:hAnsi="Cambria" w:cs="Times New Roman"/>
        </w:rPr>
      </w:pPr>
      <w:r>
        <w:rPr>
          <w:rFonts w:ascii="Cambria" w:eastAsia="ＭＳ 明朝" w:hAnsi="Cambria" w:cs="Times New Roman"/>
        </w:rPr>
        <w:t xml:space="preserve"> - 100bp DNA ladder (</w:t>
      </w:r>
      <w:r w:rsidRPr="009142BD">
        <w:rPr>
          <w:rFonts w:ascii="Cambria" w:eastAsia="ＭＳ 明朝" w:hAnsi="Cambria" w:cs="Times New Roman"/>
          <w:color w:val="0000FF"/>
        </w:rPr>
        <w:t>Phenix Research Products cat# DNAL-100bp</w:t>
      </w:r>
      <w:r>
        <w:rPr>
          <w:rFonts w:ascii="Cambria" w:eastAsia="ＭＳ 明朝" w:hAnsi="Cambria" w:cs="Times New Roman"/>
        </w:rPr>
        <w:t>)</w:t>
      </w:r>
    </w:p>
    <w:p w14:paraId="374051DD" w14:textId="77777777" w:rsidR="009B4E05" w:rsidRDefault="009B4E05">
      <w:pPr>
        <w:rPr>
          <w:rFonts w:ascii="Cambria" w:eastAsia="ＭＳ 明朝" w:hAnsi="Cambria" w:cs="Times New Roman"/>
          <w:color w:val="0000FF"/>
        </w:rPr>
      </w:pPr>
      <w:r>
        <w:rPr>
          <w:rFonts w:ascii="Cambria" w:eastAsia="ＭＳ 明朝" w:hAnsi="Cambria" w:cs="Times New Roman"/>
        </w:rPr>
        <w:t xml:space="preserve"> - 10x PCR Buffer  </w:t>
      </w:r>
      <w:r w:rsidRPr="007B099C">
        <w:rPr>
          <w:rFonts w:ascii="Cambria" w:eastAsia="ＭＳ 明朝" w:hAnsi="Cambria" w:cs="Times New Roman"/>
          <w:color w:val="0000FF"/>
        </w:rPr>
        <w:t>(</w:t>
      </w:r>
      <w:r>
        <w:rPr>
          <w:rFonts w:ascii="Cambria" w:eastAsia="ＭＳ 明朝" w:hAnsi="Cambria" w:cs="Times New Roman"/>
          <w:color w:val="0000FF"/>
        </w:rPr>
        <w:t>NEB</w:t>
      </w:r>
      <w:r w:rsidRPr="007B099C">
        <w:rPr>
          <w:rFonts w:ascii="Cambria" w:eastAsia="ＭＳ 明朝" w:hAnsi="Cambria" w:cs="Times New Roman"/>
          <w:color w:val="0000FF"/>
        </w:rPr>
        <w:t xml:space="preserve"> cat#B9014S)</w:t>
      </w:r>
    </w:p>
    <w:p w14:paraId="146EEB76" w14:textId="07DB1338" w:rsidR="009B4E05" w:rsidRDefault="009B4E05">
      <w:pPr>
        <w:rPr>
          <w:rFonts w:ascii="Cambria" w:eastAsia="ＭＳ 明朝" w:hAnsi="Cambria" w:cs="Times New Roman"/>
        </w:rPr>
      </w:pPr>
      <w:r>
        <w:rPr>
          <w:rFonts w:ascii="Cambria" w:eastAsia="ＭＳ 明朝" w:hAnsi="Cambria" w:cs="Times New Roman"/>
          <w:color w:val="0000FF"/>
        </w:rPr>
        <w:t xml:space="preserve"> -  </w:t>
      </w:r>
      <w:r>
        <w:rPr>
          <w:rFonts w:ascii="Cambria" w:eastAsia="ＭＳ 明朝" w:hAnsi="Cambria" w:cs="Times New Roman"/>
        </w:rPr>
        <w:t>25mM MgCl</w:t>
      </w:r>
      <w:r>
        <w:rPr>
          <w:rFonts w:ascii="Cambria" w:eastAsia="ＭＳ 明朝" w:hAnsi="Cambria" w:cs="Times New Roman"/>
          <w:vertAlign w:val="subscript"/>
        </w:rPr>
        <w:t>2</w:t>
      </w:r>
      <w:r>
        <w:rPr>
          <w:rFonts w:ascii="Cambria" w:eastAsia="ＭＳ 明朝" w:hAnsi="Cambria" w:cs="Times New Roman"/>
        </w:rPr>
        <w:t xml:space="preserve"> (</w:t>
      </w:r>
      <w:r>
        <w:rPr>
          <w:rFonts w:ascii="Cambria" w:eastAsia="ＭＳ 明朝" w:hAnsi="Cambria" w:cs="Times New Roman"/>
          <w:color w:val="0000FF"/>
        </w:rPr>
        <w:t>NEB</w:t>
      </w:r>
      <w:r w:rsidRPr="007B099C">
        <w:rPr>
          <w:rFonts w:ascii="Cambria" w:eastAsia="ＭＳ 明朝" w:hAnsi="Cambria" w:cs="Times New Roman"/>
          <w:color w:val="0000FF"/>
        </w:rPr>
        <w:t xml:space="preserve"> cat# B9021S</w:t>
      </w:r>
      <w:r>
        <w:rPr>
          <w:rFonts w:ascii="Cambria" w:eastAsia="ＭＳ 明朝" w:hAnsi="Cambria" w:cs="Times New Roman"/>
        </w:rPr>
        <w:t>)</w:t>
      </w:r>
    </w:p>
    <w:p w14:paraId="6769FFC5" w14:textId="27629A4F" w:rsidR="009B4E05" w:rsidRDefault="009B4E05">
      <w:pPr>
        <w:rPr>
          <w:rFonts w:ascii="Cambria" w:eastAsia="ＭＳ 明朝" w:hAnsi="Cambria" w:cs="Times New Roman"/>
        </w:rPr>
      </w:pPr>
      <w:r>
        <w:rPr>
          <w:rFonts w:ascii="Cambria" w:eastAsia="ＭＳ 明朝" w:hAnsi="Cambria" w:cs="Times New Roman"/>
        </w:rPr>
        <w:t xml:space="preserve"> -  BSA 20mg/ml  (</w:t>
      </w:r>
      <w:r w:rsidRPr="007B099C">
        <w:rPr>
          <w:rFonts w:ascii="Cambria" w:eastAsia="ＭＳ 明朝" w:hAnsi="Cambria" w:cs="Times New Roman"/>
          <w:color w:val="0000FF"/>
        </w:rPr>
        <w:t>Fermentas cat#B14</w:t>
      </w:r>
      <w:r>
        <w:rPr>
          <w:rFonts w:ascii="Cambria" w:eastAsia="ＭＳ 明朝" w:hAnsi="Cambria" w:cs="Times New Roman"/>
        </w:rPr>
        <w:t>)</w:t>
      </w:r>
    </w:p>
    <w:p w14:paraId="52BC1D41" w14:textId="13EE24C3" w:rsidR="009B4E05" w:rsidRDefault="009B4E05">
      <w:pPr>
        <w:rPr>
          <w:rFonts w:ascii="Cambria" w:eastAsia="ＭＳ 明朝" w:hAnsi="Cambria" w:cs="Times New Roman"/>
        </w:rPr>
      </w:pPr>
      <w:r>
        <w:rPr>
          <w:rFonts w:ascii="Cambria" w:eastAsia="ＭＳ 明朝" w:hAnsi="Cambria" w:cs="Times New Roman"/>
        </w:rPr>
        <w:t xml:space="preserve"> -  10mM dNTP mix  (</w:t>
      </w:r>
      <w:r w:rsidRPr="007B099C">
        <w:rPr>
          <w:rFonts w:ascii="Cambria" w:eastAsia="ＭＳ 明朝" w:hAnsi="Cambria" w:cs="Times New Roman"/>
          <w:color w:val="0000FF"/>
        </w:rPr>
        <w:t>Fermentas cat#R0192</w:t>
      </w:r>
      <w:r>
        <w:rPr>
          <w:rFonts w:ascii="Cambria" w:eastAsia="ＭＳ 明朝" w:hAnsi="Cambria" w:cs="Times New Roman"/>
        </w:rPr>
        <w:t>)</w:t>
      </w:r>
    </w:p>
    <w:p w14:paraId="29E3E69E" w14:textId="692AAC87" w:rsidR="009B4E05" w:rsidRPr="00F7629F" w:rsidRDefault="009B4E05" w:rsidP="00E320BF">
      <w:pPr>
        <w:rPr>
          <w:rFonts w:ascii="Cambria" w:eastAsia="ＭＳ 明朝" w:hAnsi="Cambria" w:cs="Times New Roman"/>
        </w:rPr>
      </w:pPr>
      <w:r>
        <w:rPr>
          <w:rFonts w:ascii="Cambria" w:eastAsia="ＭＳ 明朝" w:hAnsi="Cambria" w:cs="Times New Roman"/>
        </w:rPr>
        <w:t xml:space="preserve"> -  Taq DNA polymerase 5000U/ml (</w:t>
      </w:r>
      <w:r>
        <w:rPr>
          <w:rFonts w:ascii="Cambria" w:eastAsia="ＭＳ 明朝" w:hAnsi="Cambria" w:cs="Times New Roman"/>
          <w:color w:val="0000FF"/>
        </w:rPr>
        <w:t>NEB</w:t>
      </w:r>
      <w:r w:rsidRPr="00185B6A">
        <w:rPr>
          <w:rFonts w:ascii="Cambria" w:eastAsia="ＭＳ 明朝" w:hAnsi="Cambria" w:cs="Times New Roman"/>
          <w:color w:val="0000FF"/>
        </w:rPr>
        <w:t xml:space="preserve"> cat#M0273S</w:t>
      </w:r>
      <w:r>
        <w:rPr>
          <w:rFonts w:ascii="Cambria" w:eastAsia="ＭＳ 明朝" w:hAnsi="Cambria" w:cs="Times New Roman"/>
        </w:rPr>
        <w:t>)</w:t>
      </w:r>
    </w:p>
    <w:p w14:paraId="093B08D2" w14:textId="77777777" w:rsidR="00206BAF" w:rsidRDefault="00206BAF" w:rsidP="00E320BF">
      <w:pPr>
        <w:rPr>
          <w:rFonts w:ascii="Calisto MT" w:hAnsi="Calisto MT"/>
        </w:rPr>
      </w:pPr>
    </w:p>
    <w:p w14:paraId="2F1EF9A0" w14:textId="2E8AAE10" w:rsidR="00E320BF" w:rsidRPr="009B4E05" w:rsidRDefault="00265E0C" w:rsidP="00E320BF">
      <w:pPr>
        <w:rPr>
          <w:rFonts w:ascii="Cambria" w:eastAsia="ＭＳ 明朝" w:hAnsi="Cambria" w:cs="Times New Roman"/>
        </w:rPr>
      </w:pPr>
      <w:r>
        <w:rPr>
          <w:rFonts w:ascii="Calisto MT" w:hAnsi="Calisto MT"/>
        </w:rPr>
        <w:t>4</w:t>
      </w:r>
      <w:r w:rsidR="00E320BF" w:rsidRPr="000472A6">
        <w:rPr>
          <w:rFonts w:ascii="Calisto MT" w:hAnsi="Calisto MT"/>
        </w:rPr>
        <w:t>.</w:t>
      </w:r>
      <w:r w:rsidR="00E320BF" w:rsidRPr="00E320BF">
        <w:rPr>
          <w:rFonts w:ascii="Calisto MT" w:hAnsi="Calisto MT"/>
          <w:b/>
        </w:rPr>
        <w:t xml:space="preserve"> GENERAL LAB CONSIDERATIONS</w:t>
      </w:r>
    </w:p>
    <w:p w14:paraId="1289A33A" w14:textId="4B691946" w:rsidR="00E320BF" w:rsidRPr="00E320BF" w:rsidRDefault="00E320BF" w:rsidP="00E320BF">
      <w:pPr>
        <w:pStyle w:val="ListParagraph"/>
        <w:numPr>
          <w:ilvl w:val="0"/>
          <w:numId w:val="4"/>
        </w:numPr>
        <w:rPr>
          <w:rFonts w:ascii="Calisto MT" w:hAnsi="Calisto MT"/>
        </w:rPr>
      </w:pPr>
      <w:r w:rsidRPr="00E320BF">
        <w:rPr>
          <w:rFonts w:ascii="Calisto MT" w:hAnsi="Calisto MT"/>
        </w:rPr>
        <w:t xml:space="preserve">Work with amplicons must be done on designated bench only, away from laboratory areas where genomic DNA or </w:t>
      </w:r>
      <w:r w:rsidR="00813642">
        <w:rPr>
          <w:rFonts w:ascii="Calisto MT" w:hAnsi="Calisto MT"/>
        </w:rPr>
        <w:t xml:space="preserve">all other </w:t>
      </w:r>
      <w:r w:rsidRPr="00E320BF">
        <w:rPr>
          <w:rFonts w:ascii="Calisto MT" w:hAnsi="Calisto MT"/>
        </w:rPr>
        <w:t>PCR work is generally done.</w:t>
      </w:r>
    </w:p>
    <w:p w14:paraId="454794BA" w14:textId="77777777" w:rsidR="00E320BF" w:rsidRPr="00E320BF" w:rsidRDefault="00E320BF" w:rsidP="00E320BF">
      <w:pPr>
        <w:pStyle w:val="ListParagraph"/>
        <w:numPr>
          <w:ilvl w:val="0"/>
          <w:numId w:val="4"/>
        </w:numPr>
        <w:rPr>
          <w:rFonts w:ascii="Calisto MT" w:hAnsi="Calisto MT"/>
        </w:rPr>
      </w:pPr>
      <w:r w:rsidRPr="00E320BF">
        <w:rPr>
          <w:rFonts w:ascii="Calisto MT" w:hAnsi="Calisto MT"/>
        </w:rPr>
        <w:t>Gloves must be worn at all times during the work.</w:t>
      </w:r>
    </w:p>
    <w:p w14:paraId="6621874C" w14:textId="77777777" w:rsidR="00E320BF" w:rsidRPr="00E320BF" w:rsidRDefault="00E320BF" w:rsidP="00E320BF">
      <w:pPr>
        <w:pStyle w:val="ListParagraph"/>
        <w:numPr>
          <w:ilvl w:val="0"/>
          <w:numId w:val="4"/>
        </w:numPr>
        <w:rPr>
          <w:rFonts w:ascii="Calisto MT" w:hAnsi="Calisto MT"/>
        </w:rPr>
      </w:pPr>
      <w:r w:rsidRPr="00E320BF">
        <w:rPr>
          <w:rFonts w:ascii="Calisto MT" w:hAnsi="Calisto MT"/>
        </w:rPr>
        <w:t>Work must be done carefully to minimize the risk of aerosols.</w:t>
      </w:r>
    </w:p>
    <w:p w14:paraId="2F5065BF" w14:textId="77777777" w:rsidR="00E320BF" w:rsidRPr="00E320BF" w:rsidRDefault="00E320BF" w:rsidP="00E320BF">
      <w:pPr>
        <w:pStyle w:val="ListParagraph"/>
        <w:numPr>
          <w:ilvl w:val="0"/>
          <w:numId w:val="4"/>
        </w:numPr>
        <w:rPr>
          <w:rFonts w:ascii="Calisto MT" w:hAnsi="Calisto MT"/>
        </w:rPr>
      </w:pPr>
      <w:r w:rsidRPr="00E320BF">
        <w:rPr>
          <w:rFonts w:ascii="Calisto MT" w:hAnsi="Calisto MT"/>
        </w:rPr>
        <w:t>Eating or drinking is prohibited in the lab.</w:t>
      </w:r>
    </w:p>
    <w:p w14:paraId="3A5C22E2" w14:textId="77777777" w:rsidR="00E320BF" w:rsidRPr="00E320BF" w:rsidRDefault="00E320BF" w:rsidP="00E320BF">
      <w:pPr>
        <w:rPr>
          <w:rFonts w:ascii="Calisto MT" w:hAnsi="Calisto MT"/>
          <w:b/>
        </w:rPr>
      </w:pPr>
    </w:p>
    <w:p w14:paraId="7BB3116A" w14:textId="6E7166BB" w:rsidR="00E320BF" w:rsidRPr="00E320BF" w:rsidRDefault="00265E0C" w:rsidP="00E320BF">
      <w:pPr>
        <w:rPr>
          <w:rFonts w:ascii="Calisto MT" w:hAnsi="Calisto MT"/>
          <w:b/>
        </w:rPr>
      </w:pPr>
      <w:r>
        <w:rPr>
          <w:rFonts w:ascii="Calisto MT" w:hAnsi="Calisto MT"/>
        </w:rPr>
        <w:t>5</w:t>
      </w:r>
      <w:r w:rsidR="00E320BF" w:rsidRPr="000472A6">
        <w:rPr>
          <w:rFonts w:ascii="Calisto MT" w:hAnsi="Calisto MT"/>
        </w:rPr>
        <w:t>.</w:t>
      </w:r>
      <w:r w:rsidR="00E320BF" w:rsidRPr="00E320BF">
        <w:rPr>
          <w:rFonts w:ascii="Calisto MT" w:hAnsi="Calisto MT"/>
          <w:b/>
        </w:rPr>
        <w:t xml:space="preserve"> QUALITY CONTROL PROCEDURES</w:t>
      </w:r>
    </w:p>
    <w:p w14:paraId="1FAFFD21" w14:textId="77777777" w:rsidR="00E320BF" w:rsidRPr="00E320BF" w:rsidRDefault="00E320BF" w:rsidP="00E320BF">
      <w:pPr>
        <w:pStyle w:val="ListParagraph"/>
        <w:numPr>
          <w:ilvl w:val="0"/>
          <w:numId w:val="5"/>
        </w:numPr>
        <w:rPr>
          <w:rFonts w:ascii="Calisto MT" w:hAnsi="Calisto MT"/>
        </w:rPr>
      </w:pPr>
      <w:r w:rsidRPr="00E320BF">
        <w:rPr>
          <w:rFonts w:ascii="Calisto MT" w:hAnsi="Calisto MT"/>
        </w:rPr>
        <w:t>Decontaminate all surfaces with 70% ethanol, before and after use.</w:t>
      </w:r>
    </w:p>
    <w:p w14:paraId="25408BC3" w14:textId="2D538F2E" w:rsidR="00E320BF" w:rsidRPr="00E320BF" w:rsidRDefault="00E320BF" w:rsidP="00E320BF">
      <w:pPr>
        <w:pStyle w:val="ListParagraph"/>
        <w:numPr>
          <w:ilvl w:val="0"/>
          <w:numId w:val="5"/>
        </w:numPr>
        <w:rPr>
          <w:rFonts w:ascii="Calisto MT" w:hAnsi="Calisto MT"/>
        </w:rPr>
      </w:pPr>
      <w:r w:rsidRPr="00E320BF">
        <w:rPr>
          <w:rFonts w:ascii="Calisto MT" w:hAnsi="Calisto MT"/>
        </w:rPr>
        <w:t xml:space="preserve">Use only </w:t>
      </w:r>
      <w:r w:rsidR="00583A92">
        <w:rPr>
          <w:rFonts w:ascii="Calisto MT" w:hAnsi="Calisto MT"/>
        </w:rPr>
        <w:t xml:space="preserve">pre-packaged </w:t>
      </w:r>
      <w:r w:rsidRPr="00E320BF">
        <w:rPr>
          <w:rFonts w:ascii="Calisto MT" w:hAnsi="Calisto MT"/>
        </w:rPr>
        <w:t>aerosol-resistant pipette tips to minimize contamination of pipette shaft.</w:t>
      </w:r>
    </w:p>
    <w:p w14:paraId="383E71C3" w14:textId="77777777" w:rsidR="00E320BF" w:rsidRPr="00E320BF" w:rsidRDefault="00E320BF" w:rsidP="00E320BF">
      <w:pPr>
        <w:pStyle w:val="ListParagraph"/>
        <w:numPr>
          <w:ilvl w:val="0"/>
          <w:numId w:val="5"/>
        </w:numPr>
        <w:rPr>
          <w:rFonts w:ascii="Calisto MT" w:hAnsi="Calisto MT"/>
        </w:rPr>
      </w:pPr>
      <w:r w:rsidRPr="00E320BF">
        <w:rPr>
          <w:rFonts w:ascii="Calisto MT" w:hAnsi="Calisto MT"/>
        </w:rPr>
        <w:t>Discard the pipette tips after each use to avoid cross-contamination.</w:t>
      </w:r>
    </w:p>
    <w:p w14:paraId="46282F12" w14:textId="79A89945" w:rsidR="00E320BF" w:rsidRPr="00E320BF" w:rsidRDefault="00E320BF" w:rsidP="00E320BF">
      <w:pPr>
        <w:pStyle w:val="ListParagraph"/>
        <w:numPr>
          <w:ilvl w:val="0"/>
          <w:numId w:val="5"/>
        </w:numPr>
        <w:rPr>
          <w:rFonts w:ascii="Calisto MT" w:hAnsi="Calisto MT"/>
        </w:rPr>
      </w:pPr>
      <w:r w:rsidRPr="00E320BF">
        <w:rPr>
          <w:rFonts w:ascii="Calisto MT" w:hAnsi="Calisto MT"/>
        </w:rPr>
        <w:t xml:space="preserve">Gloves must be changed frequently, and </w:t>
      </w:r>
      <w:r w:rsidR="00583A92">
        <w:rPr>
          <w:rFonts w:ascii="Calisto MT" w:hAnsi="Calisto MT"/>
        </w:rPr>
        <w:t xml:space="preserve">especially </w:t>
      </w:r>
      <w:r w:rsidRPr="00E320BF">
        <w:rPr>
          <w:rFonts w:ascii="Calisto MT" w:hAnsi="Calisto MT"/>
        </w:rPr>
        <w:t>between sample pools, to avoid cross-contamination.</w:t>
      </w:r>
    </w:p>
    <w:p w14:paraId="0EA28DA0" w14:textId="10741544" w:rsidR="00E320BF" w:rsidRPr="00E320BF" w:rsidRDefault="00FB605A" w:rsidP="00E320BF">
      <w:pPr>
        <w:pStyle w:val="ListParagraph"/>
        <w:numPr>
          <w:ilvl w:val="0"/>
          <w:numId w:val="5"/>
        </w:numPr>
        <w:rPr>
          <w:rFonts w:ascii="Calisto MT" w:hAnsi="Calisto MT"/>
        </w:rPr>
      </w:pPr>
      <w:r>
        <w:rPr>
          <w:rFonts w:ascii="Calisto MT" w:hAnsi="Calisto MT"/>
        </w:rPr>
        <w:t>The p</w:t>
      </w:r>
      <w:r w:rsidR="00E320BF" w:rsidRPr="00E320BF">
        <w:rPr>
          <w:rFonts w:ascii="Calisto MT" w:hAnsi="Calisto MT"/>
        </w:rPr>
        <w:t>ipettes used need to be calibrated annually.</w:t>
      </w:r>
    </w:p>
    <w:p w14:paraId="0D1FDC90" w14:textId="77777777" w:rsidR="00E320BF" w:rsidRPr="00E320BF" w:rsidRDefault="00E320BF" w:rsidP="00E320BF">
      <w:pPr>
        <w:rPr>
          <w:rFonts w:ascii="Calisto MT" w:hAnsi="Calisto MT"/>
        </w:rPr>
      </w:pPr>
    </w:p>
    <w:p w14:paraId="35AB501C" w14:textId="177108D8" w:rsidR="00A61B9C" w:rsidRPr="00A61B9C" w:rsidRDefault="00265E0C" w:rsidP="00A61B9C">
      <w:pPr>
        <w:rPr>
          <w:rFonts w:ascii="Calisto MT" w:hAnsi="Calisto MT"/>
          <w:b/>
        </w:rPr>
      </w:pPr>
      <w:r>
        <w:rPr>
          <w:rFonts w:ascii="Calisto MT" w:hAnsi="Calisto MT"/>
        </w:rPr>
        <w:t>6</w:t>
      </w:r>
      <w:r w:rsidR="00A61B9C" w:rsidRPr="000472A6">
        <w:rPr>
          <w:rFonts w:ascii="Calisto MT" w:hAnsi="Calisto MT"/>
        </w:rPr>
        <w:t>.</w:t>
      </w:r>
      <w:r w:rsidR="00A61B9C" w:rsidRPr="00A61B9C">
        <w:rPr>
          <w:rFonts w:ascii="Calisto MT" w:hAnsi="Calisto MT"/>
          <w:b/>
        </w:rPr>
        <w:t xml:space="preserve"> SAFETY CONSIDERATIONS</w:t>
      </w:r>
    </w:p>
    <w:p w14:paraId="082D0E61" w14:textId="77777777" w:rsidR="00A61B9C" w:rsidRPr="00A61B9C" w:rsidRDefault="00A61B9C" w:rsidP="00A61B9C">
      <w:pPr>
        <w:pStyle w:val="ListParagraph"/>
        <w:numPr>
          <w:ilvl w:val="0"/>
          <w:numId w:val="6"/>
        </w:numPr>
        <w:rPr>
          <w:rFonts w:ascii="Calisto MT" w:hAnsi="Calisto MT"/>
        </w:rPr>
      </w:pPr>
      <w:r w:rsidRPr="00A61B9C">
        <w:rPr>
          <w:rFonts w:ascii="Calisto MT" w:hAnsi="Calisto MT"/>
        </w:rPr>
        <w:t>Wear UV protective glasses and gloves during exposure of gels to the UV transilluminator.</w:t>
      </w:r>
    </w:p>
    <w:p w14:paraId="1F291AC2" w14:textId="77777777" w:rsidR="00A61B9C" w:rsidRPr="00A61B9C" w:rsidRDefault="00A61B9C" w:rsidP="00A61B9C">
      <w:pPr>
        <w:pStyle w:val="ListParagraph"/>
        <w:numPr>
          <w:ilvl w:val="0"/>
          <w:numId w:val="6"/>
        </w:numPr>
        <w:rPr>
          <w:rFonts w:ascii="Calisto MT" w:hAnsi="Calisto MT"/>
        </w:rPr>
      </w:pPr>
      <w:r w:rsidRPr="00A61B9C">
        <w:rPr>
          <w:rFonts w:ascii="Calisto MT" w:hAnsi="Calisto MT"/>
        </w:rPr>
        <w:t>Always have a waste disposable container.</w:t>
      </w:r>
    </w:p>
    <w:p w14:paraId="06F444FE" w14:textId="77777777" w:rsidR="00A61B9C" w:rsidRPr="00A61B9C" w:rsidRDefault="00A61B9C" w:rsidP="00A61B9C">
      <w:pPr>
        <w:pStyle w:val="ListParagraph"/>
        <w:numPr>
          <w:ilvl w:val="0"/>
          <w:numId w:val="6"/>
        </w:numPr>
        <w:rPr>
          <w:rFonts w:ascii="Calisto MT" w:hAnsi="Calisto MT"/>
        </w:rPr>
      </w:pPr>
      <w:r w:rsidRPr="00A61B9C">
        <w:rPr>
          <w:rFonts w:ascii="Calisto MT" w:hAnsi="Calisto MT"/>
        </w:rPr>
        <w:t>If ethidium bromide is used to visualize DNA in agarose gels, be aware that ethidium bromide is a potent mutagen. Take proper precaution while handling the solution. Handle only with gloves. Dispose off the ethidium bromide solution properly.</w:t>
      </w:r>
    </w:p>
    <w:p w14:paraId="640786CF" w14:textId="77777777" w:rsidR="00A61B9C" w:rsidRPr="00A61B9C" w:rsidRDefault="00A61B9C" w:rsidP="00A61B9C">
      <w:pPr>
        <w:pStyle w:val="ListParagraph"/>
        <w:numPr>
          <w:ilvl w:val="0"/>
          <w:numId w:val="6"/>
        </w:numPr>
        <w:rPr>
          <w:rFonts w:ascii="Calisto MT" w:hAnsi="Calisto MT"/>
        </w:rPr>
      </w:pPr>
      <w:r w:rsidRPr="00A61B9C">
        <w:rPr>
          <w:rFonts w:ascii="Calisto MT" w:hAnsi="Calisto MT"/>
        </w:rPr>
        <w:t>Make sure to dispose ethidium bromide- containing gels in proper biohazard trash containers.</w:t>
      </w:r>
    </w:p>
    <w:p w14:paraId="0FCB986E" w14:textId="710159F2" w:rsidR="00A61B9C" w:rsidRPr="00A61B9C" w:rsidRDefault="00A61B9C" w:rsidP="00A61B9C">
      <w:pPr>
        <w:pStyle w:val="ListParagraph"/>
        <w:numPr>
          <w:ilvl w:val="0"/>
          <w:numId w:val="6"/>
        </w:numPr>
        <w:rPr>
          <w:rFonts w:ascii="Calisto MT" w:hAnsi="Calisto MT"/>
        </w:rPr>
      </w:pPr>
      <w:r w:rsidRPr="00A61B9C">
        <w:rPr>
          <w:rFonts w:ascii="Calisto MT" w:hAnsi="Calisto MT"/>
        </w:rPr>
        <w:t xml:space="preserve">Try to use an environmentally safe fluorescent nucleic acid dye, like GelRed Nucleic Acid Gel Stain, to replace the highly toxic Ethidium Bromide to stain DNA </w:t>
      </w:r>
      <w:r>
        <w:rPr>
          <w:rFonts w:ascii="Calisto MT" w:hAnsi="Calisto MT"/>
        </w:rPr>
        <w:t>in</w:t>
      </w:r>
      <w:r w:rsidRPr="00A61B9C">
        <w:rPr>
          <w:rFonts w:ascii="Calisto MT" w:hAnsi="Calisto MT"/>
        </w:rPr>
        <w:t xml:space="preserve"> gels.</w:t>
      </w:r>
    </w:p>
    <w:p w14:paraId="642A7A85" w14:textId="10700CE4" w:rsidR="00A61B9C" w:rsidRPr="00A61B9C" w:rsidRDefault="00A61B9C" w:rsidP="00A61B9C">
      <w:pPr>
        <w:rPr>
          <w:rFonts w:ascii="Cambria" w:eastAsia="ＭＳ 明朝" w:hAnsi="Cambria" w:cs="Times New Roman"/>
          <w:b/>
        </w:rPr>
      </w:pPr>
    </w:p>
    <w:p w14:paraId="17EA8576" w14:textId="7EFC9C3A" w:rsidR="004D0FDF" w:rsidRDefault="00265E0C" w:rsidP="004D0FDF">
      <w:pPr>
        <w:rPr>
          <w:rFonts w:ascii="Cambria" w:eastAsia="ＭＳ 明朝" w:hAnsi="Cambria" w:cs="Times New Roman"/>
          <w:b/>
        </w:rPr>
      </w:pPr>
      <w:r>
        <w:rPr>
          <w:rFonts w:ascii="Cambria" w:eastAsia="ＭＳ 明朝" w:hAnsi="Cambria" w:cs="Times New Roman"/>
        </w:rPr>
        <w:t>7</w:t>
      </w:r>
      <w:r w:rsidR="004D0FDF" w:rsidRPr="000472A6">
        <w:rPr>
          <w:rFonts w:ascii="Cambria" w:eastAsia="ＭＳ 明朝" w:hAnsi="Cambria" w:cs="Times New Roman"/>
        </w:rPr>
        <w:t>.</w:t>
      </w:r>
      <w:r w:rsidR="004D0FDF">
        <w:rPr>
          <w:rFonts w:ascii="Cambria" w:eastAsia="ＭＳ 明朝" w:hAnsi="Cambria" w:cs="Times New Roman"/>
          <w:b/>
        </w:rPr>
        <w:t xml:space="preserve">  PROCEDURE</w:t>
      </w:r>
    </w:p>
    <w:p w14:paraId="46DA477F" w14:textId="77777777" w:rsidR="009B4E05" w:rsidRDefault="009B4E05" w:rsidP="004D0FDF">
      <w:pPr>
        <w:rPr>
          <w:rFonts w:ascii="Cambria" w:eastAsia="ＭＳ 明朝" w:hAnsi="Cambria" w:cs="Times New Roman"/>
          <w:b/>
        </w:rPr>
      </w:pPr>
    </w:p>
    <w:p w14:paraId="3EF5BA63" w14:textId="0E35B3DA" w:rsidR="009B4E05" w:rsidRDefault="009B4E05" w:rsidP="004D0FDF">
      <w:pPr>
        <w:rPr>
          <w:rFonts w:ascii="Cambria" w:eastAsia="ＭＳ 明朝" w:hAnsi="Cambria" w:cs="Times New Roman"/>
          <w:b/>
        </w:rPr>
      </w:pPr>
      <w:r>
        <w:rPr>
          <w:rFonts w:ascii="Cambria" w:eastAsia="ＭＳ 明朝" w:hAnsi="Cambria" w:cs="Times New Roman"/>
          <w:b/>
        </w:rPr>
        <w:t xml:space="preserve">A. </w:t>
      </w:r>
      <w:r w:rsidRPr="00A86729">
        <w:rPr>
          <w:rFonts w:ascii="Cambria" w:eastAsia="ＭＳ 明朝" w:hAnsi="Cambria" w:cs="Times New Roman"/>
          <w:b/>
        </w:rPr>
        <w:t>DNA Quantification</w:t>
      </w:r>
    </w:p>
    <w:p w14:paraId="3A28156A" w14:textId="77777777" w:rsidR="00FF4406" w:rsidRDefault="00FF4406" w:rsidP="004D0FDF">
      <w:pPr>
        <w:rPr>
          <w:rFonts w:ascii="Cambria" w:eastAsia="ＭＳ 明朝" w:hAnsi="Cambria" w:cs="Times New Roman"/>
          <w:b/>
        </w:rPr>
      </w:pPr>
    </w:p>
    <w:p w14:paraId="626506D0" w14:textId="42F2A09A" w:rsidR="00FB605A" w:rsidRDefault="00FB605A" w:rsidP="00FB605A">
      <w:pPr>
        <w:pStyle w:val="ListParagraph"/>
        <w:numPr>
          <w:ilvl w:val="0"/>
          <w:numId w:val="12"/>
        </w:numPr>
        <w:tabs>
          <w:tab w:val="left" w:pos="1530"/>
        </w:tabs>
        <w:rPr>
          <w:rFonts w:ascii="Cambria" w:eastAsia="ＭＳ 明朝" w:hAnsi="Cambria" w:cs="Times New Roman"/>
        </w:rPr>
      </w:pPr>
      <w:r w:rsidRPr="00FB605A">
        <w:rPr>
          <w:rFonts w:ascii="Cambria" w:eastAsia="ＭＳ 明朝" w:hAnsi="Cambria" w:cs="Times New Roman"/>
        </w:rPr>
        <w:t>First quantify DNA</w:t>
      </w:r>
      <w:r w:rsidR="00FF4406">
        <w:rPr>
          <w:rFonts w:ascii="Cambria" w:eastAsia="ＭＳ 明朝" w:hAnsi="Cambria" w:cs="Times New Roman"/>
        </w:rPr>
        <w:t>,</w:t>
      </w:r>
      <w:r w:rsidRPr="00FB605A">
        <w:rPr>
          <w:rFonts w:ascii="Cambria" w:eastAsia="ＭＳ 明朝" w:hAnsi="Cambria" w:cs="Times New Roman"/>
        </w:rPr>
        <w:t xml:space="preserve"> preferably using a pico</w:t>
      </w:r>
      <w:r w:rsidR="00FF4406">
        <w:rPr>
          <w:rFonts w:ascii="Cambria" w:eastAsia="ＭＳ 明朝" w:hAnsi="Cambria" w:cs="Times New Roman"/>
        </w:rPr>
        <w:t xml:space="preserve">green assay with a fluorometer </w:t>
      </w:r>
      <w:r w:rsidRPr="00FB605A">
        <w:rPr>
          <w:rFonts w:ascii="Cambria" w:eastAsia="ＭＳ 明朝" w:hAnsi="Cambria" w:cs="Times New Roman"/>
        </w:rPr>
        <w:t>or alterna</w:t>
      </w:r>
      <w:r w:rsidR="007C2E3D">
        <w:rPr>
          <w:rFonts w:ascii="Cambria" w:eastAsia="ＭＳ 明朝" w:hAnsi="Cambria" w:cs="Times New Roman"/>
        </w:rPr>
        <w:t>tively quantify with a nanodrop.</w:t>
      </w:r>
    </w:p>
    <w:p w14:paraId="301AEBFE" w14:textId="77777777" w:rsidR="00FF4406" w:rsidRPr="007C2E3D" w:rsidRDefault="00FF4406" w:rsidP="00FF4406">
      <w:pPr>
        <w:pStyle w:val="ListParagraph"/>
        <w:tabs>
          <w:tab w:val="left" w:pos="1530"/>
        </w:tabs>
        <w:ind w:left="1080"/>
        <w:rPr>
          <w:rFonts w:ascii="Cambria" w:eastAsia="ＭＳ 明朝" w:hAnsi="Cambria" w:cs="Times New Roman"/>
        </w:rPr>
      </w:pPr>
    </w:p>
    <w:p w14:paraId="17D310E3" w14:textId="3283500F" w:rsidR="00FB605A" w:rsidRDefault="00FB605A" w:rsidP="00FB605A">
      <w:pPr>
        <w:pStyle w:val="ListParagraph"/>
        <w:numPr>
          <w:ilvl w:val="0"/>
          <w:numId w:val="12"/>
        </w:numPr>
        <w:rPr>
          <w:rFonts w:ascii="Cambria" w:eastAsia="ＭＳ 明朝" w:hAnsi="Cambria" w:cs="Times New Roman"/>
        </w:rPr>
      </w:pPr>
      <w:r w:rsidRPr="00FB605A">
        <w:rPr>
          <w:rFonts w:ascii="Cambria" w:eastAsia="ＭＳ 明朝" w:hAnsi="Cambria" w:cs="Times New Roman"/>
        </w:rPr>
        <w:t xml:space="preserve">Use 100 ng of DNA for </w:t>
      </w:r>
      <w:r w:rsidR="009B4E05">
        <w:rPr>
          <w:rFonts w:ascii="Cambria" w:eastAsia="ＭＳ 明朝" w:hAnsi="Cambria" w:cs="Times New Roman"/>
        </w:rPr>
        <w:t xml:space="preserve">the first </w:t>
      </w:r>
      <w:r w:rsidR="003A7AEB">
        <w:rPr>
          <w:rFonts w:ascii="Cambria" w:eastAsia="ＭＳ 明朝" w:hAnsi="Cambria" w:cs="Times New Roman"/>
        </w:rPr>
        <w:t>PCR step.</w:t>
      </w:r>
    </w:p>
    <w:p w14:paraId="13DC363C" w14:textId="77777777" w:rsidR="00FF4406" w:rsidRPr="00FF4406" w:rsidRDefault="00FF4406" w:rsidP="00FF4406">
      <w:pPr>
        <w:rPr>
          <w:rFonts w:ascii="Cambria" w:eastAsia="ＭＳ 明朝" w:hAnsi="Cambria" w:cs="Times New Roman"/>
        </w:rPr>
      </w:pPr>
    </w:p>
    <w:p w14:paraId="1A6B0CB4" w14:textId="16599EF1" w:rsidR="00FB605A" w:rsidRDefault="00FB605A" w:rsidP="00FB605A">
      <w:pPr>
        <w:pStyle w:val="ListParagraph"/>
        <w:numPr>
          <w:ilvl w:val="0"/>
          <w:numId w:val="12"/>
        </w:numPr>
        <w:rPr>
          <w:rFonts w:ascii="Cambria" w:eastAsia="ＭＳ 明朝" w:hAnsi="Cambria" w:cs="Times New Roman"/>
        </w:rPr>
      </w:pPr>
      <w:r>
        <w:rPr>
          <w:rFonts w:ascii="Cambria" w:eastAsia="ＭＳ 明朝" w:hAnsi="Cambria" w:cs="Times New Roman"/>
        </w:rPr>
        <w:t>Use the following PCR set up and cycling protocol</w:t>
      </w:r>
      <w:r w:rsidR="0005272A">
        <w:rPr>
          <w:rFonts w:ascii="Cambria" w:eastAsia="ＭＳ 明朝" w:hAnsi="Cambria" w:cs="Times New Roman"/>
        </w:rPr>
        <w:t xml:space="preserve"> for the first PCR</w:t>
      </w:r>
      <w:r>
        <w:rPr>
          <w:rFonts w:ascii="Cambria" w:eastAsia="ＭＳ 明朝" w:hAnsi="Cambria" w:cs="Times New Roman"/>
        </w:rPr>
        <w:t>:</w:t>
      </w:r>
    </w:p>
    <w:p w14:paraId="3F416486" w14:textId="77777777" w:rsidR="0096373B" w:rsidRDefault="0096373B" w:rsidP="00FB605A">
      <w:pPr>
        <w:rPr>
          <w:rFonts w:ascii="Cambria" w:eastAsia="ＭＳ 明朝" w:hAnsi="Cambria" w:cs="Times New Roman"/>
          <w:b/>
          <w:color w:val="FF0000"/>
        </w:rPr>
      </w:pPr>
    </w:p>
    <w:p w14:paraId="7E71B657" w14:textId="77777777" w:rsidR="0096373B" w:rsidRDefault="0096373B" w:rsidP="00FB605A">
      <w:pPr>
        <w:rPr>
          <w:rFonts w:ascii="Cambria" w:eastAsia="ＭＳ 明朝" w:hAnsi="Cambria" w:cs="Times New Roman"/>
          <w:b/>
        </w:rPr>
      </w:pPr>
      <w:r w:rsidRPr="0096373B">
        <w:rPr>
          <w:rFonts w:ascii="Cambria" w:eastAsia="ＭＳ 明朝" w:hAnsi="Cambria" w:cs="Times New Roman"/>
          <w:b/>
          <w:color w:val="FF0000"/>
        </w:rPr>
        <w:t>NOTE</w:t>
      </w:r>
      <w:r>
        <w:rPr>
          <w:rFonts w:ascii="Cambria" w:eastAsia="ＭＳ 明朝" w:hAnsi="Cambria" w:cs="Times New Roman"/>
          <w:b/>
          <w:color w:val="FF0000"/>
        </w:rPr>
        <w:t>:</w:t>
      </w:r>
      <w:r>
        <w:rPr>
          <w:rFonts w:ascii="Cambria" w:eastAsia="ＭＳ 明朝" w:hAnsi="Cambria" w:cs="Times New Roman"/>
          <w:b/>
        </w:rPr>
        <w:t xml:space="preserve"> </w:t>
      </w:r>
    </w:p>
    <w:p w14:paraId="53C59728" w14:textId="77777777" w:rsidR="0096373B" w:rsidRDefault="0096373B" w:rsidP="00FB605A">
      <w:pPr>
        <w:rPr>
          <w:rFonts w:ascii="Cambria" w:eastAsia="ＭＳ 明朝" w:hAnsi="Cambria" w:cs="Times New Roman"/>
          <w:b/>
        </w:rPr>
      </w:pPr>
    </w:p>
    <w:p w14:paraId="44D6DAD9" w14:textId="77777777" w:rsidR="00206BAF" w:rsidRDefault="0096373B" w:rsidP="00FB605A">
      <w:pPr>
        <w:rPr>
          <w:rFonts w:ascii="Cambria" w:eastAsia="ＭＳ 明朝" w:hAnsi="Cambria" w:cs="Times New Roman"/>
        </w:rPr>
      </w:pPr>
      <w:r w:rsidRPr="0096373B">
        <w:rPr>
          <w:rFonts w:ascii="Cambria" w:eastAsia="ＭＳ 明朝" w:hAnsi="Cambria" w:cs="Times New Roman"/>
        </w:rPr>
        <w:t xml:space="preserve">If DNA </w:t>
      </w:r>
      <w:r>
        <w:rPr>
          <w:rFonts w:ascii="Cambria" w:eastAsia="ＭＳ 明朝" w:hAnsi="Cambria" w:cs="Times New Roman"/>
        </w:rPr>
        <w:t xml:space="preserve">isolated </w:t>
      </w:r>
      <w:r w:rsidRPr="0096373B">
        <w:rPr>
          <w:rFonts w:ascii="Cambria" w:eastAsia="ＭＳ 明朝" w:hAnsi="Cambria" w:cs="Times New Roman"/>
        </w:rPr>
        <w:t xml:space="preserve">is </w:t>
      </w:r>
      <w:r>
        <w:rPr>
          <w:rFonts w:ascii="Cambria" w:eastAsia="ＭＳ 明朝" w:hAnsi="Cambria" w:cs="Times New Roman"/>
        </w:rPr>
        <w:t>in large quantity</w:t>
      </w:r>
      <w:r w:rsidRPr="0096373B">
        <w:rPr>
          <w:rFonts w:ascii="Cambria" w:eastAsia="ＭＳ 明朝" w:hAnsi="Cambria" w:cs="Times New Roman"/>
        </w:rPr>
        <w:t xml:space="preserve"> </w:t>
      </w:r>
      <w:r>
        <w:rPr>
          <w:rFonts w:ascii="Cambria" w:eastAsia="ＭＳ 明朝" w:hAnsi="Cambria" w:cs="Times New Roman"/>
        </w:rPr>
        <w:t xml:space="preserve">and the DNA is of </w:t>
      </w:r>
      <w:r w:rsidRPr="0096373B">
        <w:rPr>
          <w:rFonts w:ascii="Cambria" w:eastAsia="ＭＳ 明朝" w:hAnsi="Cambria" w:cs="Times New Roman"/>
        </w:rPr>
        <w:t>good quality</w:t>
      </w:r>
      <w:r>
        <w:rPr>
          <w:rFonts w:ascii="Cambria" w:eastAsia="ＭＳ 明朝" w:hAnsi="Cambria" w:cs="Times New Roman"/>
        </w:rPr>
        <w:t>, then it is not necessary to use 100ng of template DNA for first PCR. In such cases, ~25ng is enough. On the other hand, if DNA isolated is from difficult samples where you believe PCR could be a problem, then using at least 100ng as template for first PCR is recommended.</w:t>
      </w:r>
    </w:p>
    <w:p w14:paraId="08D9E0EB" w14:textId="77777777" w:rsidR="00206BAF" w:rsidRDefault="00206BAF" w:rsidP="00FB605A">
      <w:pPr>
        <w:rPr>
          <w:rFonts w:ascii="Cambria" w:eastAsia="ＭＳ 明朝" w:hAnsi="Cambria" w:cs="Times New Roman"/>
        </w:rPr>
      </w:pPr>
    </w:p>
    <w:p w14:paraId="1058CFD1" w14:textId="299649CD" w:rsidR="00FB605A" w:rsidRPr="00396C39" w:rsidRDefault="00396C39" w:rsidP="00FB605A">
      <w:pPr>
        <w:rPr>
          <w:rFonts w:ascii="Cambria" w:eastAsia="ＭＳ 明朝" w:hAnsi="Cambria" w:cs="Times New Roman"/>
          <w:b/>
        </w:rPr>
      </w:pPr>
      <w:r>
        <w:rPr>
          <w:rFonts w:ascii="Cambria" w:eastAsia="ＭＳ 明朝" w:hAnsi="Cambria" w:cs="Times New Roman"/>
          <w:b/>
        </w:rPr>
        <w:t xml:space="preserve">B. </w:t>
      </w:r>
      <w:r w:rsidR="002712E1" w:rsidRPr="00396C39">
        <w:rPr>
          <w:rFonts w:ascii="Cambria" w:eastAsia="ＭＳ 明朝" w:hAnsi="Cambria" w:cs="Times New Roman"/>
          <w:b/>
        </w:rPr>
        <w:t xml:space="preserve">PCR conditions for </w:t>
      </w:r>
      <w:r w:rsidR="00A86729">
        <w:rPr>
          <w:rFonts w:ascii="Cambria" w:eastAsia="ＭＳ 明朝" w:hAnsi="Cambria" w:cs="Times New Roman"/>
          <w:b/>
        </w:rPr>
        <w:t xml:space="preserve">first PCR </w:t>
      </w:r>
    </w:p>
    <w:p w14:paraId="74041C38" w14:textId="2AD84691" w:rsidR="00D566E6" w:rsidRDefault="00410329" w:rsidP="00FB605A">
      <w:pPr>
        <w:rPr>
          <w:rFonts w:ascii="Cambria" w:eastAsia="ＭＳ 明朝" w:hAnsi="Cambria" w:cs="Times New Roman"/>
        </w:rPr>
      </w:pPr>
      <w:r>
        <w:rPr>
          <w:rFonts w:ascii="Cambria" w:eastAsia="ＭＳ 明朝" w:hAnsi="Cambria" w:cs="Times New Roman"/>
        </w:rPr>
        <w:t>-------------------------------------------------------------------------------------------------------------</w:t>
      </w:r>
    </w:p>
    <w:p w14:paraId="0F6C805F" w14:textId="0D501188" w:rsidR="00410329" w:rsidRDefault="00410329" w:rsidP="00FB605A">
      <w:pPr>
        <w:rPr>
          <w:rFonts w:ascii="Cambria" w:eastAsia="ＭＳ 明朝" w:hAnsi="Cambria" w:cs="Times New Roman"/>
        </w:rPr>
      </w:pPr>
      <w:r>
        <w:rPr>
          <w:rFonts w:ascii="Cambria" w:eastAsia="ＭＳ 明朝" w:hAnsi="Cambria" w:cs="Times New Roman"/>
        </w:rPr>
        <w:t>Reagents</w:t>
      </w:r>
      <w:r>
        <w:rPr>
          <w:rFonts w:ascii="Cambria" w:eastAsia="ＭＳ 明朝" w:hAnsi="Cambria" w:cs="Times New Roman"/>
        </w:rPr>
        <w:tab/>
      </w:r>
      <w:r>
        <w:rPr>
          <w:rFonts w:ascii="Cambria" w:eastAsia="ＭＳ 明朝" w:hAnsi="Cambria" w:cs="Times New Roman"/>
        </w:rPr>
        <w:tab/>
      </w:r>
      <w:r>
        <w:rPr>
          <w:rFonts w:ascii="Cambria" w:eastAsia="ＭＳ 明朝" w:hAnsi="Cambria" w:cs="Times New Roman"/>
        </w:rPr>
        <w:tab/>
      </w:r>
      <w:r>
        <w:rPr>
          <w:rFonts w:ascii="Cambria" w:eastAsia="ＭＳ 明朝" w:hAnsi="Cambria" w:cs="Times New Roman"/>
        </w:rPr>
        <w:tab/>
      </w:r>
      <w:r>
        <w:rPr>
          <w:rFonts w:ascii="Cambria" w:eastAsia="ＭＳ 明朝" w:hAnsi="Cambria" w:cs="Times New Roman"/>
        </w:rPr>
        <w:tab/>
      </w:r>
      <w:r>
        <w:rPr>
          <w:rFonts w:ascii="Cambria" w:eastAsia="ＭＳ 明朝" w:hAnsi="Cambria" w:cs="Times New Roman"/>
        </w:rPr>
        <w:tab/>
        <w:t>volume</w:t>
      </w:r>
      <w:r>
        <w:rPr>
          <w:rFonts w:ascii="Cambria" w:eastAsia="ＭＳ 明朝" w:hAnsi="Cambria" w:cs="Times New Roman"/>
        </w:rPr>
        <w:tab/>
        <w:t>final conc.</w:t>
      </w:r>
    </w:p>
    <w:p w14:paraId="508574A2" w14:textId="4617E8BD" w:rsidR="00410329" w:rsidRDefault="00410329" w:rsidP="00FB605A">
      <w:pPr>
        <w:rPr>
          <w:rFonts w:ascii="Cambria" w:eastAsia="ＭＳ 明朝" w:hAnsi="Cambria" w:cs="Times New Roman"/>
        </w:rPr>
      </w:pPr>
      <w:r>
        <w:rPr>
          <w:rFonts w:ascii="Cambria" w:eastAsia="ＭＳ 明朝" w:hAnsi="Cambria" w:cs="Times New Roman"/>
        </w:rPr>
        <w:t>-------------------------------------------------------------------------------------------------------------</w:t>
      </w:r>
    </w:p>
    <w:p w14:paraId="5CBB85AE" w14:textId="717A53B5" w:rsidR="00D566E6" w:rsidRPr="00185B6A" w:rsidRDefault="00D566E6" w:rsidP="00FB605A">
      <w:pPr>
        <w:rPr>
          <w:rFonts w:ascii="Cambria" w:eastAsia="ＭＳ 明朝" w:hAnsi="Cambria" w:cs="Times New Roman"/>
        </w:rPr>
      </w:pPr>
      <w:r>
        <w:rPr>
          <w:rFonts w:ascii="Cambria" w:eastAsia="ＭＳ 明朝" w:hAnsi="Cambria" w:cs="Times New Roman"/>
        </w:rPr>
        <w:t xml:space="preserve">10x PCR Buffer </w:t>
      </w:r>
      <w:r w:rsidR="007B099C">
        <w:rPr>
          <w:rFonts w:ascii="Cambria" w:eastAsia="ＭＳ 明朝" w:hAnsi="Cambria" w:cs="Times New Roman"/>
        </w:rPr>
        <w:t xml:space="preserve"> </w:t>
      </w:r>
      <w:r w:rsidR="007B099C" w:rsidRPr="007B099C">
        <w:rPr>
          <w:rFonts w:ascii="Cambria" w:eastAsia="ＭＳ 明朝" w:hAnsi="Cambria" w:cs="Times New Roman"/>
          <w:color w:val="0000FF"/>
        </w:rPr>
        <w:t>(</w:t>
      </w:r>
      <w:r w:rsidR="004772FC">
        <w:rPr>
          <w:rFonts w:ascii="Cambria" w:eastAsia="ＭＳ 明朝" w:hAnsi="Cambria" w:cs="Times New Roman"/>
          <w:color w:val="0000FF"/>
        </w:rPr>
        <w:t>NEB</w:t>
      </w:r>
      <w:r w:rsidR="007B099C" w:rsidRPr="007B099C">
        <w:rPr>
          <w:rFonts w:ascii="Cambria" w:eastAsia="ＭＳ 明朝" w:hAnsi="Cambria" w:cs="Times New Roman"/>
          <w:color w:val="0000FF"/>
        </w:rPr>
        <w:t xml:space="preserve"> cat#B9014S)</w:t>
      </w:r>
      <w:r w:rsidR="00185B6A">
        <w:rPr>
          <w:rFonts w:ascii="Cambria" w:eastAsia="ＭＳ 明朝" w:hAnsi="Cambria" w:cs="Times New Roman"/>
          <w:color w:val="0000FF"/>
        </w:rPr>
        <w:tab/>
      </w:r>
      <w:r w:rsidR="00185B6A">
        <w:rPr>
          <w:rFonts w:ascii="Cambria" w:eastAsia="ＭＳ 明朝" w:hAnsi="Cambria" w:cs="Times New Roman"/>
          <w:color w:val="0000FF"/>
        </w:rPr>
        <w:tab/>
      </w:r>
      <w:r w:rsidR="009B4E05">
        <w:rPr>
          <w:rFonts w:ascii="Cambria" w:eastAsia="ＭＳ 明朝" w:hAnsi="Cambria" w:cs="Times New Roman"/>
          <w:color w:val="0000FF"/>
        </w:rPr>
        <w:tab/>
      </w:r>
      <w:r w:rsidR="00185B6A">
        <w:rPr>
          <w:rFonts w:ascii="Cambria" w:eastAsia="ＭＳ 明朝" w:hAnsi="Cambria" w:cs="Times New Roman"/>
        </w:rPr>
        <w:t>= 5µl</w:t>
      </w:r>
      <w:r w:rsidR="00410329">
        <w:rPr>
          <w:rFonts w:ascii="Cambria" w:eastAsia="ＭＳ 明朝" w:hAnsi="Cambria" w:cs="Times New Roman"/>
        </w:rPr>
        <w:tab/>
      </w:r>
      <w:r w:rsidR="00410329">
        <w:rPr>
          <w:rFonts w:ascii="Cambria" w:eastAsia="ＭＳ 明朝" w:hAnsi="Cambria" w:cs="Times New Roman"/>
        </w:rPr>
        <w:tab/>
        <w:t>1x</w:t>
      </w:r>
    </w:p>
    <w:p w14:paraId="0023FDA3" w14:textId="25A1CB22" w:rsidR="007B099C" w:rsidRDefault="007B099C" w:rsidP="00FB605A">
      <w:pPr>
        <w:rPr>
          <w:rFonts w:ascii="Cambria" w:eastAsia="ＭＳ 明朝" w:hAnsi="Cambria" w:cs="Times New Roman"/>
        </w:rPr>
      </w:pPr>
      <w:r>
        <w:rPr>
          <w:rFonts w:ascii="Cambria" w:eastAsia="ＭＳ 明朝" w:hAnsi="Cambria" w:cs="Times New Roman"/>
        </w:rPr>
        <w:t>25mM MgCl</w:t>
      </w:r>
      <w:r>
        <w:rPr>
          <w:rFonts w:ascii="Cambria" w:eastAsia="ＭＳ 明朝" w:hAnsi="Cambria" w:cs="Times New Roman"/>
          <w:vertAlign w:val="subscript"/>
        </w:rPr>
        <w:t>2</w:t>
      </w:r>
      <w:r>
        <w:rPr>
          <w:rFonts w:ascii="Cambria" w:eastAsia="ＭＳ 明朝" w:hAnsi="Cambria" w:cs="Times New Roman"/>
        </w:rPr>
        <w:t xml:space="preserve">      (</w:t>
      </w:r>
      <w:r w:rsidR="004772FC">
        <w:rPr>
          <w:rFonts w:ascii="Cambria" w:eastAsia="ＭＳ 明朝" w:hAnsi="Cambria" w:cs="Times New Roman"/>
          <w:color w:val="0000FF"/>
        </w:rPr>
        <w:t>NEB</w:t>
      </w:r>
      <w:r w:rsidRPr="007B099C">
        <w:rPr>
          <w:rFonts w:ascii="Cambria" w:eastAsia="ＭＳ 明朝" w:hAnsi="Cambria" w:cs="Times New Roman"/>
          <w:color w:val="0000FF"/>
        </w:rPr>
        <w:t xml:space="preserve"> cat# B9021S</w:t>
      </w:r>
      <w:r>
        <w:rPr>
          <w:rFonts w:ascii="Cambria" w:eastAsia="ＭＳ 明朝" w:hAnsi="Cambria" w:cs="Times New Roman"/>
        </w:rPr>
        <w:t>)</w:t>
      </w:r>
      <w:r w:rsidR="00410329">
        <w:rPr>
          <w:rFonts w:ascii="Cambria" w:eastAsia="ＭＳ 明朝" w:hAnsi="Cambria" w:cs="Times New Roman"/>
        </w:rPr>
        <w:tab/>
      </w:r>
      <w:r w:rsidR="00410329">
        <w:rPr>
          <w:rFonts w:ascii="Cambria" w:eastAsia="ＭＳ 明朝" w:hAnsi="Cambria" w:cs="Times New Roman"/>
        </w:rPr>
        <w:tab/>
        <w:t>= 6</w:t>
      </w:r>
      <w:r w:rsidR="00185B6A">
        <w:rPr>
          <w:rFonts w:ascii="Cambria" w:eastAsia="ＭＳ 明朝" w:hAnsi="Cambria" w:cs="Times New Roman"/>
        </w:rPr>
        <w:t>µl</w:t>
      </w:r>
      <w:r w:rsidR="00410329">
        <w:rPr>
          <w:rFonts w:ascii="Cambria" w:eastAsia="ＭＳ 明朝" w:hAnsi="Cambria" w:cs="Times New Roman"/>
        </w:rPr>
        <w:tab/>
      </w:r>
      <w:r w:rsidR="00410329">
        <w:rPr>
          <w:rFonts w:ascii="Cambria" w:eastAsia="ＭＳ 明朝" w:hAnsi="Cambria" w:cs="Times New Roman"/>
        </w:rPr>
        <w:tab/>
      </w:r>
      <w:r w:rsidR="000C739C">
        <w:rPr>
          <w:rFonts w:ascii="Cambria" w:eastAsia="ＭＳ 明朝" w:hAnsi="Cambria" w:cs="Times New Roman"/>
        </w:rPr>
        <w:t>3mM</w:t>
      </w:r>
      <w:r w:rsidR="00410329">
        <w:rPr>
          <w:rFonts w:ascii="Cambria" w:eastAsia="ＭＳ 明朝" w:hAnsi="Cambria" w:cs="Times New Roman"/>
        </w:rPr>
        <w:tab/>
      </w:r>
    </w:p>
    <w:p w14:paraId="68148CB0" w14:textId="42A5B278" w:rsidR="007B099C" w:rsidRDefault="007B099C" w:rsidP="00FB605A">
      <w:pPr>
        <w:rPr>
          <w:rFonts w:ascii="Cambria" w:eastAsia="ＭＳ 明朝" w:hAnsi="Cambria" w:cs="Times New Roman"/>
        </w:rPr>
      </w:pPr>
      <w:r>
        <w:rPr>
          <w:rFonts w:ascii="Cambria" w:eastAsia="ＭＳ 明朝" w:hAnsi="Cambria" w:cs="Times New Roman"/>
        </w:rPr>
        <w:t>BSA 20mg/ml    (</w:t>
      </w:r>
      <w:r w:rsidRPr="007B099C">
        <w:rPr>
          <w:rFonts w:ascii="Cambria" w:eastAsia="ＭＳ 明朝" w:hAnsi="Cambria" w:cs="Times New Roman"/>
          <w:color w:val="0000FF"/>
        </w:rPr>
        <w:t>Fermentas cat#B14</w:t>
      </w:r>
      <w:r>
        <w:rPr>
          <w:rFonts w:ascii="Cambria" w:eastAsia="ＭＳ 明朝" w:hAnsi="Cambria" w:cs="Times New Roman"/>
        </w:rPr>
        <w:t>)</w:t>
      </w:r>
      <w:r w:rsidR="00185B6A">
        <w:rPr>
          <w:rFonts w:ascii="Cambria" w:eastAsia="ＭＳ 明朝" w:hAnsi="Cambria" w:cs="Times New Roman"/>
        </w:rPr>
        <w:tab/>
      </w:r>
      <w:r w:rsidR="00185B6A">
        <w:rPr>
          <w:rFonts w:ascii="Cambria" w:eastAsia="ＭＳ 明朝" w:hAnsi="Cambria" w:cs="Times New Roman"/>
        </w:rPr>
        <w:tab/>
        <w:t>= 0.6µl</w:t>
      </w:r>
      <w:r w:rsidR="000C739C">
        <w:rPr>
          <w:rFonts w:ascii="Cambria" w:eastAsia="ＭＳ 明朝" w:hAnsi="Cambria" w:cs="Times New Roman"/>
        </w:rPr>
        <w:tab/>
      </w:r>
      <w:r w:rsidR="000C739C">
        <w:rPr>
          <w:rFonts w:ascii="Cambria" w:eastAsia="ＭＳ 明朝" w:hAnsi="Cambria" w:cs="Times New Roman"/>
        </w:rPr>
        <w:tab/>
      </w:r>
      <w:r w:rsidR="00AB3FB5">
        <w:rPr>
          <w:rFonts w:ascii="Cambria" w:eastAsia="ＭＳ 明朝" w:hAnsi="Cambria" w:cs="Times New Roman"/>
        </w:rPr>
        <w:t>0.24mg/ml</w:t>
      </w:r>
    </w:p>
    <w:p w14:paraId="25244506" w14:textId="02EBD47C" w:rsidR="007B099C" w:rsidRPr="007B099C" w:rsidRDefault="007B099C" w:rsidP="00FB605A">
      <w:pPr>
        <w:rPr>
          <w:rFonts w:ascii="Cambria" w:eastAsia="ＭＳ 明朝" w:hAnsi="Cambria" w:cs="Times New Roman"/>
        </w:rPr>
      </w:pPr>
      <w:r>
        <w:rPr>
          <w:rFonts w:ascii="Cambria" w:eastAsia="ＭＳ 明朝" w:hAnsi="Cambria" w:cs="Times New Roman"/>
        </w:rPr>
        <w:t>10mM dNTP</w:t>
      </w:r>
      <w:r w:rsidR="00185B6A">
        <w:rPr>
          <w:rFonts w:ascii="Cambria" w:eastAsia="ＭＳ 明朝" w:hAnsi="Cambria" w:cs="Times New Roman"/>
        </w:rPr>
        <w:t xml:space="preserve"> mix</w:t>
      </w:r>
      <w:r>
        <w:rPr>
          <w:rFonts w:ascii="Cambria" w:eastAsia="ＭＳ 明朝" w:hAnsi="Cambria" w:cs="Times New Roman"/>
        </w:rPr>
        <w:t xml:space="preserve">       (</w:t>
      </w:r>
      <w:r w:rsidRPr="007B099C">
        <w:rPr>
          <w:rFonts w:ascii="Cambria" w:eastAsia="ＭＳ 明朝" w:hAnsi="Cambria" w:cs="Times New Roman"/>
          <w:color w:val="0000FF"/>
        </w:rPr>
        <w:t>Fermentas cat#R0192</w:t>
      </w:r>
      <w:r>
        <w:rPr>
          <w:rFonts w:ascii="Cambria" w:eastAsia="ＭＳ 明朝" w:hAnsi="Cambria" w:cs="Times New Roman"/>
        </w:rPr>
        <w:t>)</w:t>
      </w:r>
      <w:r w:rsidR="00185B6A">
        <w:rPr>
          <w:rFonts w:ascii="Cambria" w:eastAsia="ＭＳ 明朝" w:hAnsi="Cambria" w:cs="Times New Roman"/>
        </w:rPr>
        <w:tab/>
        <w:t>= 1µl</w:t>
      </w:r>
      <w:r w:rsidR="00AB3FB5">
        <w:rPr>
          <w:rFonts w:ascii="Cambria" w:eastAsia="ＭＳ 明朝" w:hAnsi="Cambria" w:cs="Times New Roman"/>
        </w:rPr>
        <w:tab/>
      </w:r>
      <w:r w:rsidR="00AB3FB5">
        <w:rPr>
          <w:rFonts w:ascii="Cambria" w:eastAsia="ＭＳ 明朝" w:hAnsi="Cambria" w:cs="Times New Roman"/>
        </w:rPr>
        <w:tab/>
        <w:t>200nM</w:t>
      </w:r>
    </w:p>
    <w:p w14:paraId="1AEE6644" w14:textId="7E1588BD" w:rsidR="006D1902" w:rsidRDefault="00AB3FB5" w:rsidP="00FB605A">
      <w:pPr>
        <w:rPr>
          <w:rFonts w:ascii="Cambria" w:eastAsia="ＭＳ 明朝" w:hAnsi="Cambria" w:cs="Times New Roman"/>
        </w:rPr>
      </w:pPr>
      <w:r>
        <w:rPr>
          <w:rFonts w:ascii="Cambria" w:eastAsia="ＭＳ 明朝" w:hAnsi="Cambria" w:cs="Times New Roman"/>
        </w:rPr>
        <w:t xml:space="preserve">10µM </w:t>
      </w:r>
      <w:r w:rsidR="003A7AEB">
        <w:rPr>
          <w:rFonts w:ascii="Cambria" w:eastAsia="ＭＳ 明朝" w:hAnsi="Cambria" w:cs="Times New Roman"/>
        </w:rPr>
        <w:t>TS</w:t>
      </w:r>
      <w:r w:rsidR="00077908">
        <w:rPr>
          <w:rFonts w:ascii="Cambria" w:eastAsia="ＭＳ 明朝" w:hAnsi="Cambria" w:cs="Times New Roman"/>
        </w:rPr>
        <w:t>-CS1</w:t>
      </w:r>
      <w:r w:rsidR="003A7AEB">
        <w:rPr>
          <w:rFonts w:ascii="Cambria" w:eastAsia="ＭＳ 明朝" w:hAnsi="Cambria" w:cs="Times New Roman"/>
        </w:rPr>
        <w:t xml:space="preserve"> forward primer</w:t>
      </w:r>
      <w:r w:rsidR="00077908">
        <w:rPr>
          <w:rFonts w:ascii="Cambria" w:eastAsia="ＭＳ 明朝" w:hAnsi="Cambria" w:cs="Times New Roman"/>
        </w:rPr>
        <w:tab/>
      </w:r>
      <w:r w:rsidR="00077908">
        <w:rPr>
          <w:rFonts w:ascii="Cambria" w:eastAsia="ＭＳ 明朝" w:hAnsi="Cambria" w:cs="Times New Roman"/>
        </w:rPr>
        <w:tab/>
      </w:r>
      <w:r w:rsidR="00077908">
        <w:rPr>
          <w:rFonts w:ascii="Cambria" w:eastAsia="ＭＳ 明朝" w:hAnsi="Cambria" w:cs="Times New Roman"/>
        </w:rPr>
        <w:tab/>
      </w:r>
      <w:r w:rsidR="00185B6A">
        <w:rPr>
          <w:rFonts w:ascii="Cambria" w:eastAsia="ＭＳ 明朝" w:hAnsi="Cambria" w:cs="Times New Roman"/>
        </w:rPr>
        <w:t>= 0.25</w:t>
      </w:r>
      <w:r>
        <w:rPr>
          <w:rFonts w:ascii="Cambria" w:eastAsia="ＭＳ 明朝" w:hAnsi="Cambria" w:cs="Times New Roman"/>
        </w:rPr>
        <w:t>µl</w:t>
      </w:r>
      <w:r>
        <w:rPr>
          <w:rFonts w:ascii="Cambria" w:eastAsia="ＭＳ 明朝" w:hAnsi="Cambria" w:cs="Times New Roman"/>
        </w:rPr>
        <w:tab/>
        <w:t>50nM</w:t>
      </w:r>
      <w:r>
        <w:rPr>
          <w:rFonts w:ascii="Cambria" w:eastAsia="ＭＳ 明朝" w:hAnsi="Cambria" w:cs="Times New Roman"/>
        </w:rPr>
        <w:tab/>
      </w:r>
      <w:r>
        <w:rPr>
          <w:rFonts w:ascii="Cambria" w:eastAsia="ＭＳ 明朝" w:hAnsi="Cambria" w:cs="Times New Roman"/>
        </w:rPr>
        <w:tab/>
      </w:r>
    </w:p>
    <w:p w14:paraId="1F7E4FF5" w14:textId="774226E4" w:rsidR="007B099C" w:rsidRDefault="00AB3FB5" w:rsidP="00FB605A">
      <w:pPr>
        <w:rPr>
          <w:rFonts w:ascii="Cambria" w:eastAsia="ＭＳ 明朝" w:hAnsi="Cambria" w:cs="Times New Roman"/>
        </w:rPr>
      </w:pPr>
      <w:r>
        <w:rPr>
          <w:rFonts w:ascii="Cambria" w:eastAsia="ＭＳ 明朝" w:hAnsi="Cambria" w:cs="Times New Roman"/>
        </w:rPr>
        <w:t xml:space="preserve">10µM </w:t>
      </w:r>
      <w:r w:rsidR="003A7AEB">
        <w:rPr>
          <w:rFonts w:ascii="Cambria" w:eastAsia="ＭＳ 明朝" w:hAnsi="Cambria" w:cs="Times New Roman"/>
        </w:rPr>
        <w:t>TS</w:t>
      </w:r>
      <w:r w:rsidR="00077908">
        <w:rPr>
          <w:rFonts w:ascii="Cambria" w:eastAsia="ＭＳ 明朝" w:hAnsi="Cambria" w:cs="Times New Roman"/>
        </w:rPr>
        <w:t>-CS2</w:t>
      </w:r>
      <w:r w:rsidR="003A7AEB">
        <w:rPr>
          <w:rFonts w:ascii="Cambria" w:eastAsia="ＭＳ 明朝" w:hAnsi="Cambria" w:cs="Times New Roman"/>
        </w:rPr>
        <w:t xml:space="preserve"> reverse primer</w:t>
      </w:r>
      <w:r w:rsidR="00077908">
        <w:rPr>
          <w:rFonts w:ascii="Cambria" w:eastAsia="ＭＳ 明朝" w:hAnsi="Cambria" w:cs="Times New Roman"/>
        </w:rPr>
        <w:tab/>
      </w:r>
      <w:r w:rsidR="00077908">
        <w:rPr>
          <w:rFonts w:ascii="Cambria" w:eastAsia="ＭＳ 明朝" w:hAnsi="Cambria" w:cs="Times New Roman"/>
        </w:rPr>
        <w:tab/>
      </w:r>
      <w:r w:rsidR="00077908">
        <w:rPr>
          <w:rFonts w:ascii="Cambria" w:eastAsia="ＭＳ 明朝" w:hAnsi="Cambria" w:cs="Times New Roman"/>
        </w:rPr>
        <w:tab/>
      </w:r>
      <w:r w:rsidR="00410329">
        <w:rPr>
          <w:rFonts w:ascii="Cambria" w:eastAsia="ＭＳ 明朝" w:hAnsi="Cambria" w:cs="Times New Roman"/>
        </w:rPr>
        <w:t>= 0.25µl</w:t>
      </w:r>
      <w:r>
        <w:rPr>
          <w:rFonts w:ascii="Cambria" w:eastAsia="ＭＳ 明朝" w:hAnsi="Cambria" w:cs="Times New Roman"/>
        </w:rPr>
        <w:tab/>
        <w:t>50nM</w:t>
      </w:r>
    </w:p>
    <w:p w14:paraId="29C69651" w14:textId="797752FF" w:rsidR="00AB3FB5" w:rsidRDefault="00185B6A" w:rsidP="00FB605A">
      <w:pPr>
        <w:rPr>
          <w:rFonts w:ascii="Cambria" w:eastAsia="ＭＳ 明朝" w:hAnsi="Cambria" w:cs="Times New Roman"/>
        </w:rPr>
      </w:pPr>
      <w:r>
        <w:rPr>
          <w:rFonts w:ascii="Cambria" w:eastAsia="ＭＳ 明朝" w:hAnsi="Cambria" w:cs="Times New Roman"/>
        </w:rPr>
        <w:t xml:space="preserve">Taq DNA polymerase </w:t>
      </w:r>
      <w:r w:rsidR="00AB3FB5">
        <w:rPr>
          <w:rFonts w:ascii="Cambria" w:eastAsia="ＭＳ 明朝" w:hAnsi="Cambria" w:cs="Times New Roman"/>
        </w:rPr>
        <w:t>5000U/ml</w:t>
      </w:r>
    </w:p>
    <w:p w14:paraId="4BCE1D2E" w14:textId="6AE3FA6A" w:rsidR="007B099C" w:rsidRDefault="00185B6A" w:rsidP="00FB605A">
      <w:pPr>
        <w:rPr>
          <w:rFonts w:ascii="Cambria" w:eastAsia="ＭＳ 明朝" w:hAnsi="Cambria" w:cs="Times New Roman"/>
        </w:rPr>
      </w:pPr>
      <w:r>
        <w:rPr>
          <w:rFonts w:ascii="Cambria" w:eastAsia="ＭＳ 明朝" w:hAnsi="Cambria" w:cs="Times New Roman"/>
        </w:rPr>
        <w:t>(</w:t>
      </w:r>
      <w:r w:rsidR="004772FC">
        <w:rPr>
          <w:rFonts w:ascii="Cambria" w:eastAsia="ＭＳ 明朝" w:hAnsi="Cambria" w:cs="Times New Roman"/>
          <w:color w:val="0000FF"/>
        </w:rPr>
        <w:t>NEB</w:t>
      </w:r>
      <w:r w:rsidRPr="00185B6A">
        <w:rPr>
          <w:rFonts w:ascii="Cambria" w:eastAsia="ＭＳ 明朝" w:hAnsi="Cambria" w:cs="Times New Roman"/>
          <w:color w:val="0000FF"/>
        </w:rPr>
        <w:t xml:space="preserve"> cat#M0273S</w:t>
      </w:r>
      <w:r>
        <w:rPr>
          <w:rFonts w:ascii="Cambria" w:eastAsia="ＭＳ 明朝" w:hAnsi="Cambria" w:cs="Times New Roman"/>
        </w:rPr>
        <w:t>)</w:t>
      </w:r>
      <w:r w:rsidR="00410329">
        <w:rPr>
          <w:rFonts w:ascii="Cambria" w:eastAsia="ＭＳ 明朝" w:hAnsi="Cambria" w:cs="Times New Roman"/>
        </w:rPr>
        <w:tab/>
      </w:r>
      <w:r w:rsidR="00AB3FB5">
        <w:rPr>
          <w:rFonts w:ascii="Cambria" w:eastAsia="ＭＳ 明朝" w:hAnsi="Cambria" w:cs="Times New Roman"/>
        </w:rPr>
        <w:tab/>
      </w:r>
      <w:r w:rsidR="00AB3FB5">
        <w:rPr>
          <w:rFonts w:ascii="Cambria" w:eastAsia="ＭＳ 明朝" w:hAnsi="Cambria" w:cs="Times New Roman"/>
        </w:rPr>
        <w:tab/>
      </w:r>
      <w:r w:rsidR="00AB3FB5">
        <w:rPr>
          <w:rFonts w:ascii="Cambria" w:eastAsia="ＭＳ 明朝" w:hAnsi="Cambria" w:cs="Times New Roman"/>
        </w:rPr>
        <w:tab/>
      </w:r>
      <w:r w:rsidR="003A7AEB">
        <w:rPr>
          <w:rFonts w:ascii="Cambria" w:eastAsia="ＭＳ 明朝" w:hAnsi="Cambria" w:cs="Times New Roman"/>
        </w:rPr>
        <w:tab/>
      </w:r>
      <w:r w:rsidR="00410329">
        <w:rPr>
          <w:rFonts w:ascii="Cambria" w:eastAsia="ＭＳ 明朝" w:hAnsi="Cambria" w:cs="Times New Roman"/>
        </w:rPr>
        <w:t>= 0.25µl</w:t>
      </w:r>
      <w:r w:rsidR="00AB3FB5">
        <w:rPr>
          <w:rFonts w:ascii="Cambria" w:eastAsia="ＭＳ 明朝" w:hAnsi="Cambria" w:cs="Times New Roman"/>
        </w:rPr>
        <w:tab/>
      </w:r>
      <w:r w:rsidR="00CA7865">
        <w:rPr>
          <w:rFonts w:ascii="Cambria" w:eastAsia="ＭＳ 明朝" w:hAnsi="Cambria" w:cs="Times New Roman"/>
        </w:rPr>
        <w:t>0.025U/µl</w:t>
      </w:r>
      <w:r w:rsidR="00AB3FB5">
        <w:rPr>
          <w:rFonts w:ascii="Cambria" w:eastAsia="ＭＳ 明朝" w:hAnsi="Cambria" w:cs="Times New Roman"/>
        </w:rPr>
        <w:tab/>
      </w:r>
    </w:p>
    <w:p w14:paraId="74782606" w14:textId="28CF40E7" w:rsidR="00410329" w:rsidRDefault="00410329" w:rsidP="00FB605A">
      <w:pPr>
        <w:rPr>
          <w:rFonts w:ascii="Cambria" w:eastAsia="ＭＳ 明朝" w:hAnsi="Cambria" w:cs="Times New Roman"/>
        </w:rPr>
      </w:pPr>
      <w:r>
        <w:rPr>
          <w:rFonts w:ascii="Cambria" w:eastAsia="ＭＳ 明朝" w:hAnsi="Cambria" w:cs="Times New Roman"/>
        </w:rPr>
        <w:t>Nuclease-free PCR grade water</w:t>
      </w:r>
      <w:r>
        <w:rPr>
          <w:rFonts w:ascii="Cambria" w:eastAsia="ＭＳ 明朝" w:hAnsi="Cambria" w:cs="Times New Roman"/>
        </w:rPr>
        <w:tab/>
      </w:r>
      <w:r>
        <w:rPr>
          <w:rFonts w:ascii="Cambria" w:eastAsia="ＭＳ 明朝" w:hAnsi="Cambria" w:cs="Times New Roman"/>
        </w:rPr>
        <w:tab/>
      </w:r>
      <w:r>
        <w:rPr>
          <w:rFonts w:ascii="Cambria" w:eastAsia="ＭＳ 明朝" w:hAnsi="Cambria" w:cs="Times New Roman"/>
        </w:rPr>
        <w:tab/>
        <w:t>= 35.65µl</w:t>
      </w:r>
      <w:r w:rsidR="00CA7865">
        <w:rPr>
          <w:rFonts w:ascii="Cambria" w:eastAsia="ＭＳ 明朝" w:hAnsi="Cambria" w:cs="Times New Roman"/>
        </w:rPr>
        <w:tab/>
      </w:r>
    </w:p>
    <w:p w14:paraId="73570C57" w14:textId="654B6E01" w:rsidR="00410329" w:rsidRDefault="00CA7865" w:rsidP="00FB605A">
      <w:pPr>
        <w:rPr>
          <w:rFonts w:ascii="Cambria" w:eastAsia="ＭＳ 明朝" w:hAnsi="Cambria" w:cs="Times New Roman"/>
        </w:rPr>
      </w:pPr>
      <w:r>
        <w:rPr>
          <w:rFonts w:ascii="Cambria" w:eastAsia="ＭＳ 明朝" w:hAnsi="Cambria" w:cs="Times New Roman"/>
        </w:rPr>
        <w:t>Template DNA</w:t>
      </w:r>
      <w:r>
        <w:rPr>
          <w:rFonts w:ascii="Cambria" w:eastAsia="ＭＳ 明朝" w:hAnsi="Cambria" w:cs="Times New Roman"/>
        </w:rPr>
        <w:tab/>
      </w:r>
      <w:r>
        <w:rPr>
          <w:rFonts w:ascii="Cambria" w:eastAsia="ＭＳ 明朝" w:hAnsi="Cambria" w:cs="Times New Roman"/>
        </w:rPr>
        <w:tab/>
      </w:r>
      <w:r>
        <w:rPr>
          <w:rFonts w:ascii="Cambria" w:eastAsia="ＭＳ 明朝" w:hAnsi="Cambria" w:cs="Times New Roman"/>
        </w:rPr>
        <w:tab/>
      </w:r>
      <w:r>
        <w:rPr>
          <w:rFonts w:ascii="Cambria" w:eastAsia="ＭＳ 明朝" w:hAnsi="Cambria" w:cs="Times New Roman"/>
        </w:rPr>
        <w:tab/>
      </w:r>
      <w:r>
        <w:rPr>
          <w:rFonts w:ascii="Cambria" w:eastAsia="ＭＳ 明朝" w:hAnsi="Cambria" w:cs="Times New Roman"/>
        </w:rPr>
        <w:tab/>
        <w:t>= 1.0µl</w:t>
      </w:r>
      <w:r>
        <w:rPr>
          <w:rFonts w:ascii="Cambria" w:eastAsia="ＭＳ 明朝" w:hAnsi="Cambria" w:cs="Times New Roman"/>
        </w:rPr>
        <w:tab/>
      </w:r>
      <w:r>
        <w:rPr>
          <w:rFonts w:ascii="Cambria" w:eastAsia="ＭＳ 明朝" w:hAnsi="Cambria" w:cs="Times New Roman"/>
        </w:rPr>
        <w:tab/>
      </w:r>
      <w:r w:rsidR="0096373B">
        <w:rPr>
          <w:rFonts w:ascii="Cambria" w:eastAsia="ＭＳ 明朝" w:hAnsi="Cambria" w:cs="Times New Roman"/>
        </w:rPr>
        <w:t>~</w:t>
      </w:r>
      <w:r>
        <w:rPr>
          <w:rFonts w:ascii="Cambria" w:eastAsia="ＭＳ 明朝" w:hAnsi="Cambria" w:cs="Times New Roman"/>
        </w:rPr>
        <w:t>100ng/µl</w:t>
      </w:r>
    </w:p>
    <w:p w14:paraId="1D0E7AA5" w14:textId="12EDA2E7" w:rsidR="007B099C" w:rsidRDefault="00410329" w:rsidP="00FB605A">
      <w:pPr>
        <w:rPr>
          <w:rFonts w:ascii="Cambria" w:eastAsia="ＭＳ 明朝" w:hAnsi="Cambria" w:cs="Times New Roman"/>
        </w:rPr>
      </w:pPr>
      <w:r>
        <w:rPr>
          <w:rFonts w:ascii="Cambria" w:eastAsia="ＭＳ 明朝" w:hAnsi="Cambria" w:cs="Times New Roman"/>
        </w:rPr>
        <w:t>---------------------------------------------------------------------------</w:t>
      </w:r>
    </w:p>
    <w:p w14:paraId="59A17471" w14:textId="02E72CAA" w:rsidR="0084678A" w:rsidRDefault="0084678A" w:rsidP="00CA7865">
      <w:pPr>
        <w:rPr>
          <w:rFonts w:ascii="Cambria" w:eastAsia="ＭＳ 明朝" w:hAnsi="Cambria" w:cs="Times New Roman"/>
        </w:rPr>
      </w:pPr>
      <w:r>
        <w:rPr>
          <w:rFonts w:ascii="Cambria" w:eastAsia="ＭＳ 明朝" w:hAnsi="Cambria" w:cs="Times New Roman"/>
        </w:rPr>
        <w:t>Total reaction volume</w:t>
      </w:r>
      <w:r>
        <w:rPr>
          <w:rFonts w:ascii="Cambria" w:eastAsia="ＭＳ 明朝" w:hAnsi="Cambria" w:cs="Times New Roman"/>
        </w:rPr>
        <w:tab/>
      </w:r>
      <w:r>
        <w:rPr>
          <w:rFonts w:ascii="Cambria" w:eastAsia="ＭＳ 明朝" w:hAnsi="Cambria" w:cs="Times New Roman"/>
        </w:rPr>
        <w:tab/>
      </w:r>
      <w:r>
        <w:rPr>
          <w:rFonts w:ascii="Cambria" w:eastAsia="ＭＳ 明朝" w:hAnsi="Cambria" w:cs="Times New Roman"/>
        </w:rPr>
        <w:tab/>
      </w:r>
      <w:r>
        <w:rPr>
          <w:rFonts w:ascii="Cambria" w:eastAsia="ＭＳ 明朝" w:hAnsi="Cambria" w:cs="Times New Roman"/>
        </w:rPr>
        <w:tab/>
        <w:t>= 50µl</w:t>
      </w:r>
    </w:p>
    <w:p w14:paraId="589EB9EE" w14:textId="5C4FC5A9" w:rsidR="00A86729" w:rsidRDefault="00A86729" w:rsidP="00CA7865">
      <w:pPr>
        <w:rPr>
          <w:rFonts w:ascii="Cambria" w:eastAsia="ＭＳ 明朝" w:hAnsi="Cambria" w:cs="Times New Roman"/>
        </w:rPr>
      </w:pPr>
      <w:r>
        <w:rPr>
          <w:rFonts w:ascii="Cambria" w:eastAsia="ＭＳ 明朝" w:hAnsi="Cambria" w:cs="Times New Roman"/>
        </w:rPr>
        <w:t>---------------------------------------------------------------------------</w:t>
      </w:r>
    </w:p>
    <w:p w14:paraId="21FD064B" w14:textId="77777777" w:rsidR="0084678A" w:rsidRDefault="0084678A" w:rsidP="00CA7865">
      <w:pPr>
        <w:rPr>
          <w:rFonts w:ascii="Cambria" w:eastAsia="ＭＳ 明朝" w:hAnsi="Cambria" w:cs="Times New Roman"/>
        </w:rPr>
      </w:pPr>
    </w:p>
    <w:p w14:paraId="02B639FE" w14:textId="3740DD94" w:rsidR="00CA7865" w:rsidRDefault="00CA7865" w:rsidP="00CA7865">
      <w:pPr>
        <w:rPr>
          <w:rFonts w:ascii="Cambria" w:eastAsia="ＭＳ 明朝" w:hAnsi="Cambria" w:cs="Times New Roman"/>
        </w:rPr>
      </w:pPr>
      <w:r>
        <w:rPr>
          <w:rFonts w:ascii="Cambria" w:eastAsia="ＭＳ 明朝" w:hAnsi="Cambria" w:cs="Times New Roman"/>
        </w:rPr>
        <w:t>95ºC</w:t>
      </w:r>
      <w:r>
        <w:rPr>
          <w:rFonts w:ascii="Cambria" w:eastAsia="ＭＳ 明朝" w:hAnsi="Cambria" w:cs="Times New Roman"/>
        </w:rPr>
        <w:tab/>
        <w:t>2 min</w:t>
      </w:r>
    </w:p>
    <w:p w14:paraId="4E81478A" w14:textId="7D3C38CD" w:rsidR="00CA7865" w:rsidRDefault="00CA7865" w:rsidP="00CA7865">
      <w:pPr>
        <w:rPr>
          <w:rFonts w:ascii="Cambria" w:eastAsia="ＭＳ 明朝" w:hAnsi="Cambria" w:cs="Times New Roman"/>
        </w:rPr>
      </w:pPr>
      <w:r>
        <w:rPr>
          <w:rFonts w:ascii="Cambria" w:eastAsia="ＭＳ 明朝" w:hAnsi="Cambria" w:cs="Times New Roman"/>
        </w:rPr>
        <w:t>-----------------</w:t>
      </w:r>
    </w:p>
    <w:p w14:paraId="358DB993" w14:textId="5EC92130" w:rsidR="0005272A" w:rsidRPr="0005272A" w:rsidRDefault="00A86729" w:rsidP="00CA7865">
      <w:pPr>
        <w:rPr>
          <w:rFonts w:ascii="Cambria" w:eastAsia="ＭＳ 明朝" w:hAnsi="Cambria" w:cs="Times New Roman"/>
          <w:i/>
        </w:rPr>
      </w:pPr>
      <w:r>
        <w:rPr>
          <w:rFonts w:ascii="Cambria" w:eastAsia="ＭＳ 明朝" w:hAnsi="Cambria" w:cs="Times New Roman"/>
          <w:i/>
          <w:u w:val="single"/>
        </w:rPr>
        <w:t>2</w:t>
      </w:r>
      <w:r w:rsidR="0005272A" w:rsidRPr="00FD60A6">
        <w:rPr>
          <w:rFonts w:ascii="Cambria" w:eastAsia="ＭＳ 明朝" w:hAnsi="Cambria" w:cs="Times New Roman"/>
          <w:i/>
          <w:u w:val="single"/>
        </w:rPr>
        <w:t>0 cycles</w:t>
      </w:r>
      <w:r w:rsidR="0005272A" w:rsidRPr="0005272A">
        <w:rPr>
          <w:rFonts w:ascii="Cambria" w:eastAsia="ＭＳ 明朝" w:hAnsi="Cambria" w:cs="Times New Roman"/>
          <w:i/>
        </w:rPr>
        <w:t xml:space="preserve"> of</w:t>
      </w:r>
    </w:p>
    <w:p w14:paraId="50A24BA1" w14:textId="5BCF33B4" w:rsidR="00CA7865" w:rsidRDefault="00CA7865" w:rsidP="00CA7865">
      <w:pPr>
        <w:rPr>
          <w:rFonts w:ascii="Cambria" w:eastAsia="ＭＳ 明朝" w:hAnsi="Cambria" w:cs="Times New Roman"/>
        </w:rPr>
      </w:pPr>
      <w:r>
        <w:rPr>
          <w:rFonts w:ascii="Cambria" w:eastAsia="ＭＳ 明朝" w:hAnsi="Cambria" w:cs="Times New Roman"/>
        </w:rPr>
        <w:t>95ºC</w:t>
      </w:r>
      <w:r>
        <w:rPr>
          <w:rFonts w:ascii="Cambria" w:eastAsia="ＭＳ 明朝" w:hAnsi="Cambria" w:cs="Times New Roman"/>
        </w:rPr>
        <w:tab/>
        <w:t>1 min</w:t>
      </w:r>
    </w:p>
    <w:p w14:paraId="07A423E2" w14:textId="2DAC3A10" w:rsidR="00CA7865" w:rsidRDefault="00CA7865" w:rsidP="00CA7865">
      <w:pPr>
        <w:rPr>
          <w:rFonts w:ascii="Cambria" w:eastAsia="ＭＳ 明朝" w:hAnsi="Cambria" w:cs="Times New Roman"/>
        </w:rPr>
      </w:pPr>
      <w:r>
        <w:rPr>
          <w:rFonts w:ascii="Cambria" w:eastAsia="ＭＳ 明朝" w:hAnsi="Cambria" w:cs="Times New Roman"/>
        </w:rPr>
        <w:t>51ºC</w:t>
      </w:r>
      <w:r>
        <w:rPr>
          <w:rFonts w:ascii="Cambria" w:eastAsia="ＭＳ 明朝" w:hAnsi="Cambria" w:cs="Times New Roman"/>
        </w:rPr>
        <w:tab/>
        <w:t>1 min</w:t>
      </w:r>
    </w:p>
    <w:p w14:paraId="3F013DCA" w14:textId="78F6294A" w:rsidR="00CA7865" w:rsidRDefault="00CA7865" w:rsidP="00CA7865">
      <w:pPr>
        <w:rPr>
          <w:rFonts w:ascii="Cambria" w:eastAsia="ＭＳ 明朝" w:hAnsi="Cambria" w:cs="Times New Roman"/>
        </w:rPr>
      </w:pPr>
      <w:r>
        <w:rPr>
          <w:rFonts w:ascii="Cambria" w:eastAsia="ＭＳ 明朝" w:hAnsi="Cambria" w:cs="Times New Roman"/>
        </w:rPr>
        <w:t>72ºC</w:t>
      </w:r>
      <w:r>
        <w:rPr>
          <w:rFonts w:ascii="Cambria" w:eastAsia="ＭＳ 明朝" w:hAnsi="Cambria" w:cs="Times New Roman"/>
        </w:rPr>
        <w:tab/>
        <w:t>1 min</w:t>
      </w:r>
    </w:p>
    <w:p w14:paraId="433C3CD2" w14:textId="51EB3391" w:rsidR="00CA7865" w:rsidRDefault="00CA7865" w:rsidP="00CA7865">
      <w:pPr>
        <w:rPr>
          <w:rFonts w:ascii="Cambria" w:eastAsia="ＭＳ 明朝" w:hAnsi="Cambria" w:cs="Times New Roman"/>
        </w:rPr>
      </w:pPr>
      <w:r>
        <w:rPr>
          <w:rFonts w:ascii="Cambria" w:eastAsia="ＭＳ 明朝" w:hAnsi="Cambria" w:cs="Times New Roman"/>
        </w:rPr>
        <w:t>-----------------</w:t>
      </w:r>
    </w:p>
    <w:p w14:paraId="169AF665" w14:textId="0B72BD91" w:rsidR="00CA7865" w:rsidRDefault="00CA7865" w:rsidP="00CA7865">
      <w:pPr>
        <w:rPr>
          <w:rFonts w:ascii="Cambria" w:eastAsia="ＭＳ 明朝" w:hAnsi="Cambria" w:cs="Times New Roman"/>
        </w:rPr>
      </w:pPr>
      <w:r>
        <w:rPr>
          <w:rFonts w:ascii="Cambria" w:eastAsia="ＭＳ 明朝" w:hAnsi="Cambria" w:cs="Times New Roman"/>
        </w:rPr>
        <w:t>72ºC</w:t>
      </w:r>
      <w:r>
        <w:rPr>
          <w:rFonts w:ascii="Cambria" w:eastAsia="ＭＳ 明朝" w:hAnsi="Cambria" w:cs="Times New Roman"/>
        </w:rPr>
        <w:tab/>
        <w:t>10 min</w:t>
      </w:r>
    </w:p>
    <w:p w14:paraId="113077DB" w14:textId="4757528C" w:rsidR="00CA7865" w:rsidRDefault="00CA7865" w:rsidP="00CA7865">
      <w:pPr>
        <w:rPr>
          <w:rFonts w:ascii="Cambria" w:eastAsia="ＭＳ 明朝" w:hAnsi="Cambria" w:cs="Times New Roman"/>
        </w:rPr>
      </w:pPr>
      <w:r>
        <w:rPr>
          <w:rFonts w:ascii="Cambria" w:eastAsia="ＭＳ 明朝" w:hAnsi="Cambria" w:cs="Times New Roman"/>
        </w:rPr>
        <w:t>10ºC</w:t>
      </w:r>
      <w:r>
        <w:rPr>
          <w:rFonts w:ascii="Cambria" w:eastAsia="ＭＳ 明朝" w:hAnsi="Cambria" w:cs="Times New Roman"/>
        </w:rPr>
        <w:tab/>
        <w:t>∞</w:t>
      </w:r>
    </w:p>
    <w:p w14:paraId="2FFD232A" w14:textId="623BD5E1" w:rsidR="0005272A" w:rsidRDefault="0005272A" w:rsidP="00CA7865">
      <w:pPr>
        <w:rPr>
          <w:rFonts w:ascii="Cambria" w:eastAsia="ＭＳ 明朝" w:hAnsi="Cambria" w:cs="Times New Roman"/>
        </w:rPr>
      </w:pPr>
    </w:p>
    <w:p w14:paraId="6CF9A71D" w14:textId="7AE004E7" w:rsidR="00531F19" w:rsidRDefault="00396C39" w:rsidP="00CA7865">
      <w:pPr>
        <w:rPr>
          <w:rFonts w:ascii="Cambria" w:eastAsia="ＭＳ 明朝" w:hAnsi="Cambria" w:cs="Times New Roman"/>
          <w:b/>
        </w:rPr>
      </w:pPr>
      <w:r>
        <w:rPr>
          <w:rFonts w:ascii="Cambria" w:eastAsia="ＭＳ 明朝" w:hAnsi="Cambria" w:cs="Times New Roman"/>
          <w:b/>
        </w:rPr>
        <w:t xml:space="preserve">C. </w:t>
      </w:r>
      <w:r w:rsidRPr="00396C39">
        <w:rPr>
          <w:rFonts w:ascii="Cambria" w:eastAsia="ＭＳ 明朝" w:hAnsi="Cambria" w:cs="Times New Roman"/>
          <w:b/>
        </w:rPr>
        <w:t>1% agarose gel analysis of PCR products</w:t>
      </w:r>
    </w:p>
    <w:p w14:paraId="0C297041" w14:textId="77777777" w:rsidR="00396C39" w:rsidRPr="00396C39" w:rsidRDefault="00396C39" w:rsidP="00CA7865">
      <w:pPr>
        <w:rPr>
          <w:rFonts w:ascii="Cambria" w:eastAsia="ＭＳ 明朝" w:hAnsi="Cambria" w:cs="Times New Roman"/>
          <w:b/>
        </w:rPr>
      </w:pPr>
    </w:p>
    <w:p w14:paraId="4089019A" w14:textId="4554DD83" w:rsidR="003A7AEB" w:rsidRDefault="00531F19" w:rsidP="00CA7865">
      <w:pPr>
        <w:rPr>
          <w:rFonts w:ascii="Cambria" w:eastAsia="ＭＳ 明朝" w:hAnsi="Cambria" w:cs="Times New Roman"/>
        </w:rPr>
      </w:pPr>
      <w:r>
        <w:rPr>
          <w:rFonts w:ascii="Cambria" w:eastAsia="ＭＳ 明朝" w:hAnsi="Cambria" w:cs="Times New Roman"/>
        </w:rPr>
        <w:t>5. Run 5µl of the PCR product on a 1% agarose gel. Use ethidium bromide or Gel Red (see Materials section)</w:t>
      </w:r>
      <w:r w:rsidR="00B66F36">
        <w:rPr>
          <w:rFonts w:ascii="Cambria" w:eastAsia="ＭＳ 明朝" w:hAnsi="Cambria" w:cs="Times New Roman"/>
        </w:rPr>
        <w:t xml:space="preserve"> to stain and view on a UV transilluminator. </w:t>
      </w:r>
      <w:r w:rsidR="0041786D">
        <w:rPr>
          <w:rFonts w:ascii="Cambria" w:eastAsia="ＭＳ 明朝" w:hAnsi="Cambria" w:cs="Times New Roman"/>
        </w:rPr>
        <w:t>See Fig 3</w:t>
      </w:r>
      <w:r w:rsidR="009142BD">
        <w:rPr>
          <w:rFonts w:ascii="Cambria" w:eastAsia="ＭＳ 明朝" w:hAnsi="Cambria" w:cs="Times New Roman"/>
        </w:rPr>
        <w:t xml:space="preserve"> for an example gel image</w:t>
      </w:r>
      <w:r w:rsidR="00B1049F">
        <w:rPr>
          <w:rFonts w:ascii="Cambria" w:eastAsia="ＭＳ 明朝" w:hAnsi="Cambria" w:cs="Times New Roman"/>
        </w:rPr>
        <w:t>. PCR was performed as described above and stained with Gel Red.</w:t>
      </w:r>
      <w:r w:rsidR="009142BD">
        <w:rPr>
          <w:rFonts w:ascii="Cambria" w:eastAsia="ＭＳ 明朝" w:hAnsi="Cambria" w:cs="Times New Roman"/>
        </w:rPr>
        <w:t xml:space="preserve"> A 100p DNA </w:t>
      </w:r>
      <w:r w:rsidR="00B66F36">
        <w:rPr>
          <w:rFonts w:ascii="Cambria" w:eastAsia="ＭＳ 明朝" w:hAnsi="Cambria" w:cs="Times New Roman"/>
        </w:rPr>
        <w:t xml:space="preserve">size </w:t>
      </w:r>
      <w:r w:rsidR="009142BD">
        <w:rPr>
          <w:rFonts w:ascii="Cambria" w:eastAsia="ＭＳ 明朝" w:hAnsi="Cambria" w:cs="Times New Roman"/>
        </w:rPr>
        <w:t xml:space="preserve">marker </w:t>
      </w:r>
      <w:r w:rsidR="00B66F36">
        <w:rPr>
          <w:rFonts w:ascii="Cambria" w:eastAsia="ＭＳ 明朝" w:hAnsi="Cambria" w:cs="Times New Roman"/>
        </w:rPr>
        <w:t>was run alongside the samples.</w:t>
      </w:r>
      <w:r w:rsidR="00347C3A">
        <w:rPr>
          <w:rFonts w:ascii="Cambria" w:eastAsia="ＭＳ 明朝" w:hAnsi="Cambria" w:cs="Times New Roman"/>
        </w:rPr>
        <w:t xml:space="preserve"> </w:t>
      </w:r>
      <w:r w:rsidR="00F52E50">
        <w:rPr>
          <w:rFonts w:ascii="Cambria" w:eastAsia="ＭＳ 明朝" w:hAnsi="Cambria" w:cs="Times New Roman"/>
        </w:rPr>
        <w:t xml:space="preserve"> A </w:t>
      </w:r>
      <w:r w:rsidR="00741253">
        <w:rPr>
          <w:rFonts w:ascii="Cambria" w:eastAsia="ＭＳ 明朝" w:hAnsi="Cambria" w:cs="Times New Roman"/>
        </w:rPr>
        <w:t xml:space="preserve">band size </w:t>
      </w:r>
      <w:r w:rsidR="00F52E50">
        <w:rPr>
          <w:rFonts w:ascii="Cambria" w:eastAsia="ＭＳ 明朝" w:hAnsi="Cambria" w:cs="Times New Roman"/>
        </w:rPr>
        <w:t>at</w:t>
      </w:r>
      <w:r w:rsidR="00741253">
        <w:rPr>
          <w:rFonts w:ascii="Cambria" w:eastAsia="ＭＳ 明朝" w:hAnsi="Cambria" w:cs="Times New Roman"/>
        </w:rPr>
        <w:t xml:space="preserve"> 500bp in the 100bp ladder is shown.</w:t>
      </w:r>
      <w:r w:rsidR="00F52E50">
        <w:rPr>
          <w:rFonts w:ascii="Cambria" w:eastAsia="ＭＳ 明朝" w:hAnsi="Cambria" w:cs="Times New Roman"/>
        </w:rPr>
        <w:t xml:space="preserve"> The amplicon size should be ~620bp.</w:t>
      </w:r>
    </w:p>
    <w:p w14:paraId="41A9F1BB" w14:textId="77777777" w:rsidR="004105FA" w:rsidRDefault="004105FA" w:rsidP="00CA7865">
      <w:pPr>
        <w:rPr>
          <w:rFonts w:ascii="Cambria" w:eastAsia="ＭＳ 明朝" w:hAnsi="Cambria" w:cs="Times New Roman"/>
        </w:rPr>
      </w:pPr>
    </w:p>
    <w:p w14:paraId="5D172982" w14:textId="77777777" w:rsidR="004105FA" w:rsidRPr="00F52E50" w:rsidRDefault="004105FA" w:rsidP="004105FA">
      <w:pPr>
        <w:rPr>
          <w:rFonts w:ascii="Cambria" w:eastAsia="ＭＳ 明朝" w:hAnsi="Cambria" w:cs="Times New Roman"/>
        </w:rPr>
      </w:pPr>
      <w:r>
        <w:rPr>
          <w:rFonts w:ascii="Cambria" w:eastAsia="ＭＳ 明朝" w:hAnsi="Cambria" w:cs="Times New Roman"/>
          <w:b/>
          <w:color w:val="FF0000"/>
          <w:u w:val="single"/>
        </w:rPr>
        <w:t>IMPORTANT NOTE</w:t>
      </w:r>
      <w:r>
        <w:rPr>
          <w:rFonts w:ascii="Cambria" w:eastAsia="ＭＳ 明朝" w:hAnsi="Cambria" w:cs="Times New Roman"/>
          <w:i/>
          <w:color w:val="FF0000"/>
        </w:rPr>
        <w:t>:</w:t>
      </w:r>
    </w:p>
    <w:p w14:paraId="5CA041C8" w14:textId="77777777" w:rsidR="004105FA" w:rsidRDefault="004105FA" w:rsidP="004105FA">
      <w:pPr>
        <w:rPr>
          <w:rFonts w:ascii="Cambria" w:eastAsia="ＭＳ 明朝" w:hAnsi="Cambria" w:cs="Times New Roman"/>
        </w:rPr>
      </w:pPr>
    </w:p>
    <w:p w14:paraId="2FAB638F" w14:textId="232B8936" w:rsidR="004105FA" w:rsidRDefault="004105FA" w:rsidP="00CA7865">
      <w:pPr>
        <w:rPr>
          <w:rFonts w:ascii="Cambria" w:eastAsia="ＭＳ 明朝" w:hAnsi="Cambria" w:cs="Times New Roman"/>
        </w:rPr>
      </w:pPr>
      <w:r>
        <w:rPr>
          <w:rFonts w:ascii="Cambria" w:eastAsia="ＭＳ 明朝" w:hAnsi="Cambria" w:cs="Times New Roman"/>
        </w:rPr>
        <w:t>Although for PCR set up BioLabs or Fermentas components were used here, it is possible to obtain similar results with components from other companies. But please be aware that minimal primer dimers need to be present in your PCR product, and this can be accomplished if care is taken to (a) minimize primer concentrations and volumes in the reaction, and (b) always doing a 50µl reaction volume. Obtaining a good PCR and correct size PCR product is critical because otherwise barcodes will not be at</w:t>
      </w:r>
      <w:r w:rsidR="00206BAF">
        <w:rPr>
          <w:rFonts w:ascii="Cambria" w:eastAsia="ＭＳ 明朝" w:hAnsi="Cambria" w:cs="Times New Roman"/>
        </w:rPr>
        <w:t>tached in the next round of PCR.</w:t>
      </w:r>
    </w:p>
    <w:p w14:paraId="5CCBD1A8" w14:textId="77777777" w:rsidR="003A7AEB" w:rsidRDefault="003A7AEB" w:rsidP="00CA7865">
      <w:pPr>
        <w:rPr>
          <w:rFonts w:ascii="Cambria" w:eastAsia="ＭＳ 明朝" w:hAnsi="Cambria" w:cs="Times New Roman"/>
          <w:noProof/>
          <w:lang w:eastAsia="en-US"/>
        </w:rPr>
      </w:pPr>
    </w:p>
    <w:p w14:paraId="7AA37D7F" w14:textId="77777777" w:rsidR="00176627" w:rsidRDefault="00176627" w:rsidP="00CA7865">
      <w:pPr>
        <w:rPr>
          <w:rFonts w:ascii="Cambria" w:eastAsia="ＭＳ 明朝" w:hAnsi="Cambria" w:cs="Times New Roman"/>
          <w:noProof/>
          <w:lang w:eastAsia="en-US"/>
        </w:rPr>
      </w:pPr>
    </w:p>
    <w:p w14:paraId="56BB2C35" w14:textId="621B07F6" w:rsidR="0005272A" w:rsidRPr="00176627" w:rsidRDefault="0016220E" w:rsidP="00CA7865">
      <w:pPr>
        <w:rPr>
          <w:rFonts w:ascii="Cambria" w:eastAsia="ＭＳ 明朝" w:hAnsi="Cambria" w:cs="Times New Roman"/>
          <w:b/>
        </w:rPr>
      </w:pPr>
      <w:r>
        <w:rPr>
          <w:rFonts w:ascii="Cambria" w:eastAsia="ＭＳ 明朝" w:hAnsi="Cambria" w:cs="Times New Roman"/>
          <w:b/>
        </w:rPr>
        <w:t>Fig 4</w:t>
      </w:r>
      <w:r w:rsidR="00176627" w:rsidRPr="00176627">
        <w:rPr>
          <w:rFonts w:ascii="Cambria" w:eastAsia="ＭＳ 明朝" w:hAnsi="Cambria" w:cs="Times New Roman"/>
          <w:b/>
        </w:rPr>
        <w:t>.</w:t>
      </w:r>
    </w:p>
    <w:p w14:paraId="7B036320" w14:textId="2FDEEB1A" w:rsidR="00102983" w:rsidRDefault="00102983" w:rsidP="00CA7865">
      <w:pPr>
        <w:rPr>
          <w:rFonts w:ascii="Cambria" w:eastAsia="ＭＳ 明朝" w:hAnsi="Cambria" w:cs="Times New Roman"/>
        </w:rPr>
      </w:pPr>
    </w:p>
    <w:p w14:paraId="4BFEC4A0" w14:textId="56F58604" w:rsidR="004F73D5" w:rsidRPr="004F73D5" w:rsidRDefault="004F73D5" w:rsidP="004F73D5">
      <w:pPr>
        <w:rPr>
          <w:rFonts w:ascii="Cambria" w:eastAsia="ＭＳ 明朝" w:hAnsi="Cambria" w:cs="Times New Roman"/>
        </w:rPr>
      </w:pPr>
    </w:p>
    <w:p w14:paraId="4DCFBCE1" w14:textId="32F4CEF6" w:rsidR="004F73D5" w:rsidRPr="004F73D5" w:rsidRDefault="0096373B" w:rsidP="004F73D5">
      <w:pPr>
        <w:rPr>
          <w:rFonts w:ascii="Cambria" w:eastAsia="ＭＳ 明朝" w:hAnsi="Cambria" w:cs="Times New Roman"/>
        </w:rPr>
      </w:pPr>
      <w:r>
        <w:rPr>
          <w:rFonts w:ascii="Cambria" w:eastAsia="ＭＳ 明朝" w:hAnsi="Cambria" w:cs="Times New Roman"/>
          <w:noProof/>
          <w:lang w:eastAsia="en-US"/>
        </w:rPr>
        <w:drawing>
          <wp:inline distT="0" distB="0" distL="0" distR="0" wp14:anchorId="7C88BB25" wp14:editId="03D0433E">
            <wp:extent cx="5943600" cy="2121002"/>
            <wp:effectExtent l="0" t="0" r="0" b="1270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121002"/>
                    </a:xfrm>
                    <a:prstGeom prst="rect">
                      <a:avLst/>
                    </a:prstGeom>
                    <a:noFill/>
                    <a:ln>
                      <a:noFill/>
                    </a:ln>
                  </pic:spPr>
                </pic:pic>
              </a:graphicData>
            </a:graphic>
          </wp:inline>
        </w:drawing>
      </w:r>
    </w:p>
    <w:p w14:paraId="1D779414" w14:textId="77777777" w:rsidR="004F73D5" w:rsidRPr="004F73D5" w:rsidRDefault="004F73D5" w:rsidP="004F73D5">
      <w:pPr>
        <w:rPr>
          <w:rFonts w:ascii="Cambria" w:eastAsia="ＭＳ 明朝" w:hAnsi="Cambria" w:cs="Times New Roman"/>
        </w:rPr>
      </w:pPr>
    </w:p>
    <w:p w14:paraId="5B0F4170" w14:textId="77777777" w:rsidR="004F73D5" w:rsidRPr="004F73D5" w:rsidRDefault="004F73D5" w:rsidP="004F73D5">
      <w:pPr>
        <w:rPr>
          <w:rFonts w:ascii="Cambria" w:eastAsia="ＭＳ 明朝" w:hAnsi="Cambria" w:cs="Times New Roman"/>
        </w:rPr>
      </w:pPr>
    </w:p>
    <w:p w14:paraId="20713B78" w14:textId="77777777" w:rsidR="004F73D5" w:rsidRPr="004F73D5" w:rsidRDefault="004F73D5" w:rsidP="004F73D5">
      <w:pPr>
        <w:rPr>
          <w:rFonts w:ascii="Cambria" w:eastAsia="ＭＳ 明朝" w:hAnsi="Cambria" w:cs="Times New Roman"/>
        </w:rPr>
      </w:pPr>
    </w:p>
    <w:p w14:paraId="5F9C0043" w14:textId="700AB194" w:rsidR="00102983" w:rsidRPr="0096373B" w:rsidRDefault="00176627" w:rsidP="0096373B">
      <w:pPr>
        <w:tabs>
          <w:tab w:val="center" w:pos="650"/>
        </w:tabs>
        <w:rPr>
          <w:rFonts w:ascii="Cambria" w:eastAsia="ＭＳ 明朝" w:hAnsi="Cambria" w:cs="Times New Roman"/>
        </w:rPr>
      </w:pPr>
      <w:r w:rsidRPr="00176627">
        <w:rPr>
          <w:rFonts w:ascii="Cambria" w:eastAsia="ＭＳ 明朝" w:hAnsi="Cambria" w:cs="Times New Roman"/>
          <w:b/>
          <w:color w:val="FF0000"/>
        </w:rPr>
        <w:t>PAUSE POINT</w:t>
      </w:r>
    </w:p>
    <w:p w14:paraId="09815CA1" w14:textId="6183CC16" w:rsidR="00176627" w:rsidRDefault="00176627" w:rsidP="00CA7865">
      <w:pPr>
        <w:rPr>
          <w:rFonts w:ascii="Cambria" w:eastAsia="ＭＳ 明朝" w:hAnsi="Cambria" w:cs="Times New Roman"/>
        </w:rPr>
      </w:pPr>
      <w:r>
        <w:rPr>
          <w:rFonts w:ascii="Cambria" w:eastAsia="ＭＳ 明朝" w:hAnsi="Cambria" w:cs="Times New Roman"/>
        </w:rPr>
        <w:t>After this step the PCR products can be stored at 4ºC for up to 3 days or at -20ºC for longer periods.</w:t>
      </w:r>
    </w:p>
    <w:p w14:paraId="00CD0EE8" w14:textId="77777777" w:rsidR="00176627" w:rsidRPr="00176627" w:rsidRDefault="00176627" w:rsidP="00CA7865">
      <w:pPr>
        <w:rPr>
          <w:rFonts w:ascii="Cambria" w:eastAsia="ＭＳ 明朝" w:hAnsi="Cambria" w:cs="Times New Roman"/>
        </w:rPr>
      </w:pPr>
    </w:p>
    <w:p w14:paraId="66DF730A" w14:textId="5A3B0BA2" w:rsidR="00396C39" w:rsidRDefault="005D1846" w:rsidP="00CA7865">
      <w:pPr>
        <w:rPr>
          <w:rFonts w:ascii="Cambria" w:eastAsia="ＭＳ 明朝" w:hAnsi="Cambria" w:cs="Times New Roman"/>
          <w:b/>
        </w:rPr>
      </w:pPr>
      <w:r>
        <w:rPr>
          <w:rFonts w:ascii="Cambria" w:eastAsia="ＭＳ 明朝" w:hAnsi="Cambria" w:cs="Times New Roman"/>
          <w:b/>
        </w:rPr>
        <w:t>D. Prepare a 50</w:t>
      </w:r>
      <w:r w:rsidR="00396C39">
        <w:rPr>
          <w:rFonts w:ascii="Cambria" w:eastAsia="ＭＳ 明朝" w:hAnsi="Cambria" w:cs="Times New Roman"/>
          <w:b/>
        </w:rPr>
        <w:t>-fold dilution of the PCR products</w:t>
      </w:r>
    </w:p>
    <w:p w14:paraId="6FF428F3" w14:textId="77777777" w:rsidR="00396C39" w:rsidRPr="00396C39" w:rsidRDefault="00396C39" w:rsidP="00CA7865">
      <w:pPr>
        <w:rPr>
          <w:rFonts w:ascii="Cambria" w:eastAsia="ＭＳ 明朝" w:hAnsi="Cambria" w:cs="Times New Roman"/>
          <w:b/>
        </w:rPr>
      </w:pPr>
    </w:p>
    <w:p w14:paraId="50350218" w14:textId="50E84767" w:rsidR="00B1049F" w:rsidRDefault="005D1846" w:rsidP="00CA7865">
      <w:pPr>
        <w:rPr>
          <w:rFonts w:ascii="Cambria" w:eastAsia="ＭＳ 明朝" w:hAnsi="Cambria" w:cs="Times New Roman"/>
        </w:rPr>
      </w:pPr>
      <w:r>
        <w:rPr>
          <w:rFonts w:ascii="Cambria" w:eastAsia="ＭＳ 明朝" w:hAnsi="Cambria" w:cs="Times New Roman"/>
        </w:rPr>
        <w:t>6. Prepare a 50</w:t>
      </w:r>
      <w:r w:rsidR="00B1049F">
        <w:rPr>
          <w:rFonts w:ascii="Cambria" w:eastAsia="ＭＳ 明朝" w:hAnsi="Cambria" w:cs="Times New Roman"/>
        </w:rPr>
        <w:t>-fold dilution of the PC</w:t>
      </w:r>
      <w:r w:rsidR="005942EA">
        <w:rPr>
          <w:rFonts w:ascii="Cambria" w:eastAsia="ＭＳ 明朝" w:hAnsi="Cambria" w:cs="Times New Roman"/>
        </w:rPr>
        <w:t>R product from first PCR step, as follows. I</w:t>
      </w:r>
      <w:r w:rsidR="00B1049F">
        <w:rPr>
          <w:rFonts w:ascii="Cambria" w:eastAsia="ＭＳ 明朝" w:hAnsi="Cambria" w:cs="Times New Roman"/>
        </w:rPr>
        <w:t xml:space="preserve">n a 1.5ml </w:t>
      </w:r>
      <w:r w:rsidR="005B2BB4">
        <w:rPr>
          <w:rFonts w:ascii="Cambria" w:eastAsia="ＭＳ 明朝" w:hAnsi="Cambria" w:cs="Times New Roman"/>
        </w:rPr>
        <w:t xml:space="preserve">tube </w:t>
      </w:r>
      <w:r w:rsidR="00B1049F">
        <w:rPr>
          <w:rFonts w:ascii="Cambria" w:eastAsia="ＭＳ 明朝" w:hAnsi="Cambria" w:cs="Times New Roman"/>
        </w:rPr>
        <w:t>add 1µl of product fr</w:t>
      </w:r>
      <w:r>
        <w:rPr>
          <w:rFonts w:ascii="Cambria" w:eastAsia="ＭＳ 明朝" w:hAnsi="Cambria" w:cs="Times New Roman"/>
        </w:rPr>
        <w:t>om first PCR step to 49</w:t>
      </w:r>
      <w:r w:rsidR="00B1049F">
        <w:rPr>
          <w:rFonts w:ascii="Cambria" w:eastAsia="ＭＳ 明朝" w:hAnsi="Cambria" w:cs="Times New Roman"/>
        </w:rPr>
        <w:t>µl of PCR grade water.</w:t>
      </w:r>
      <w:r w:rsidR="005B2BB4">
        <w:rPr>
          <w:rFonts w:ascii="Cambria" w:eastAsia="ＭＳ 明朝" w:hAnsi="Cambria" w:cs="Times New Roman"/>
        </w:rPr>
        <w:t xml:space="preserve"> Vortex well to mix, then centrifuge briefly for 30 seconds to spin down all components.</w:t>
      </w:r>
    </w:p>
    <w:p w14:paraId="20F9F8A2" w14:textId="77777777" w:rsidR="005B2BB4" w:rsidRDefault="005B2BB4" w:rsidP="00CA7865">
      <w:pPr>
        <w:rPr>
          <w:rFonts w:ascii="Cambria" w:eastAsia="ＭＳ 明朝" w:hAnsi="Cambria" w:cs="Times New Roman"/>
        </w:rPr>
      </w:pPr>
    </w:p>
    <w:p w14:paraId="6CAF09A6" w14:textId="56163A2C" w:rsidR="00396C39" w:rsidRDefault="005B2BB4" w:rsidP="00363020">
      <w:pPr>
        <w:rPr>
          <w:rFonts w:ascii="Cambria" w:eastAsia="ＭＳ 明朝" w:hAnsi="Cambria" w:cs="Times New Roman"/>
        </w:rPr>
      </w:pPr>
      <w:r>
        <w:rPr>
          <w:rFonts w:ascii="Cambria" w:eastAsia="ＭＳ 明朝" w:hAnsi="Cambria" w:cs="Times New Roman"/>
        </w:rPr>
        <w:t xml:space="preserve">7. Prepare a </w:t>
      </w:r>
      <w:r w:rsidR="005942EA">
        <w:rPr>
          <w:rFonts w:ascii="Cambria" w:eastAsia="ＭＳ 明朝" w:hAnsi="Cambria" w:cs="Times New Roman"/>
        </w:rPr>
        <w:t>reaction</w:t>
      </w:r>
      <w:r>
        <w:rPr>
          <w:rFonts w:ascii="Cambria" w:eastAsia="ＭＳ 明朝" w:hAnsi="Cambria" w:cs="Times New Roman"/>
        </w:rPr>
        <w:t xml:space="preserve"> mix by combining the following components:</w:t>
      </w:r>
    </w:p>
    <w:p w14:paraId="1410073D" w14:textId="77777777" w:rsidR="00176627" w:rsidRDefault="00176627" w:rsidP="00CA7865">
      <w:pPr>
        <w:rPr>
          <w:rFonts w:ascii="Cambria" w:eastAsia="ＭＳ 明朝" w:hAnsi="Cambria" w:cs="Times New Roman"/>
        </w:rPr>
      </w:pPr>
    </w:p>
    <w:p w14:paraId="6F5D6315" w14:textId="73DBF6DE" w:rsidR="00176627" w:rsidRPr="00396C39" w:rsidRDefault="00396C39" w:rsidP="00176627">
      <w:pPr>
        <w:rPr>
          <w:rFonts w:ascii="Cambria" w:eastAsia="ＭＳ 明朝" w:hAnsi="Cambria" w:cs="Times New Roman"/>
          <w:b/>
        </w:rPr>
      </w:pPr>
      <w:r>
        <w:rPr>
          <w:rFonts w:ascii="Cambria" w:eastAsia="ＭＳ 明朝" w:hAnsi="Cambria" w:cs="Times New Roman"/>
          <w:b/>
        </w:rPr>
        <w:t xml:space="preserve">E. </w:t>
      </w:r>
      <w:r w:rsidR="00176627" w:rsidRPr="00396C39">
        <w:rPr>
          <w:rFonts w:ascii="Cambria" w:eastAsia="ＭＳ 明朝" w:hAnsi="Cambria" w:cs="Times New Roman"/>
          <w:b/>
        </w:rPr>
        <w:t xml:space="preserve">PCR conditions for </w:t>
      </w:r>
      <w:r w:rsidRPr="00396C39">
        <w:rPr>
          <w:rFonts w:ascii="Cambria" w:eastAsia="ＭＳ 明朝" w:hAnsi="Cambria" w:cs="Times New Roman"/>
          <w:b/>
        </w:rPr>
        <w:t>second PCR</w:t>
      </w:r>
      <w:r w:rsidR="00A86729">
        <w:rPr>
          <w:rFonts w:ascii="Cambria" w:eastAsia="ＭＳ 明朝" w:hAnsi="Cambria" w:cs="Times New Roman"/>
          <w:b/>
        </w:rPr>
        <w:t xml:space="preserve"> </w:t>
      </w:r>
    </w:p>
    <w:p w14:paraId="79BB7A97" w14:textId="77777777" w:rsidR="005B2BB4" w:rsidRDefault="005B2BB4" w:rsidP="005B2BB4">
      <w:pPr>
        <w:rPr>
          <w:rFonts w:ascii="Cambria" w:eastAsia="ＭＳ 明朝" w:hAnsi="Cambria" w:cs="Times New Roman"/>
        </w:rPr>
      </w:pPr>
      <w:r>
        <w:rPr>
          <w:rFonts w:ascii="Cambria" w:eastAsia="ＭＳ 明朝" w:hAnsi="Cambria" w:cs="Times New Roman"/>
        </w:rPr>
        <w:t>-------------------------------------------------------------------------------------------------------------</w:t>
      </w:r>
    </w:p>
    <w:p w14:paraId="285ADCF5" w14:textId="77777777" w:rsidR="005B2BB4" w:rsidRDefault="005B2BB4" w:rsidP="005B2BB4">
      <w:pPr>
        <w:rPr>
          <w:rFonts w:ascii="Cambria" w:eastAsia="ＭＳ 明朝" w:hAnsi="Cambria" w:cs="Times New Roman"/>
        </w:rPr>
      </w:pPr>
      <w:r>
        <w:rPr>
          <w:rFonts w:ascii="Cambria" w:eastAsia="ＭＳ 明朝" w:hAnsi="Cambria" w:cs="Times New Roman"/>
        </w:rPr>
        <w:t>Reagents</w:t>
      </w:r>
      <w:r>
        <w:rPr>
          <w:rFonts w:ascii="Cambria" w:eastAsia="ＭＳ 明朝" w:hAnsi="Cambria" w:cs="Times New Roman"/>
        </w:rPr>
        <w:tab/>
      </w:r>
      <w:r>
        <w:rPr>
          <w:rFonts w:ascii="Cambria" w:eastAsia="ＭＳ 明朝" w:hAnsi="Cambria" w:cs="Times New Roman"/>
        </w:rPr>
        <w:tab/>
      </w:r>
      <w:r>
        <w:rPr>
          <w:rFonts w:ascii="Cambria" w:eastAsia="ＭＳ 明朝" w:hAnsi="Cambria" w:cs="Times New Roman"/>
        </w:rPr>
        <w:tab/>
      </w:r>
      <w:r>
        <w:rPr>
          <w:rFonts w:ascii="Cambria" w:eastAsia="ＭＳ 明朝" w:hAnsi="Cambria" w:cs="Times New Roman"/>
        </w:rPr>
        <w:tab/>
      </w:r>
      <w:r>
        <w:rPr>
          <w:rFonts w:ascii="Cambria" w:eastAsia="ＭＳ 明朝" w:hAnsi="Cambria" w:cs="Times New Roman"/>
        </w:rPr>
        <w:tab/>
      </w:r>
      <w:r>
        <w:rPr>
          <w:rFonts w:ascii="Cambria" w:eastAsia="ＭＳ 明朝" w:hAnsi="Cambria" w:cs="Times New Roman"/>
        </w:rPr>
        <w:tab/>
        <w:t>volume</w:t>
      </w:r>
      <w:r>
        <w:rPr>
          <w:rFonts w:ascii="Cambria" w:eastAsia="ＭＳ 明朝" w:hAnsi="Cambria" w:cs="Times New Roman"/>
        </w:rPr>
        <w:tab/>
        <w:t>final conc.</w:t>
      </w:r>
    </w:p>
    <w:p w14:paraId="40DB5E46" w14:textId="77777777" w:rsidR="005B2BB4" w:rsidRDefault="005B2BB4" w:rsidP="005B2BB4">
      <w:pPr>
        <w:rPr>
          <w:rFonts w:ascii="Cambria" w:eastAsia="ＭＳ 明朝" w:hAnsi="Cambria" w:cs="Times New Roman"/>
        </w:rPr>
      </w:pPr>
      <w:r>
        <w:rPr>
          <w:rFonts w:ascii="Cambria" w:eastAsia="ＭＳ 明朝" w:hAnsi="Cambria" w:cs="Times New Roman"/>
        </w:rPr>
        <w:t>-------------------------------------------------------------------------------------------------------------</w:t>
      </w:r>
    </w:p>
    <w:p w14:paraId="3ABC70E8" w14:textId="32869E79" w:rsidR="005B2BB4" w:rsidRPr="00185B6A" w:rsidRDefault="005B2BB4" w:rsidP="005B2BB4">
      <w:pPr>
        <w:rPr>
          <w:rFonts w:ascii="Cambria" w:eastAsia="ＭＳ 明朝" w:hAnsi="Cambria" w:cs="Times New Roman"/>
        </w:rPr>
      </w:pPr>
      <w:r>
        <w:rPr>
          <w:rFonts w:ascii="Cambria" w:eastAsia="ＭＳ 明朝" w:hAnsi="Cambria" w:cs="Times New Roman"/>
        </w:rPr>
        <w:t xml:space="preserve">10x PCR Buffer  </w:t>
      </w:r>
      <w:r w:rsidRPr="007B099C">
        <w:rPr>
          <w:rFonts w:ascii="Cambria" w:eastAsia="ＭＳ 明朝" w:hAnsi="Cambria" w:cs="Times New Roman"/>
          <w:color w:val="0000FF"/>
        </w:rPr>
        <w:t>(</w:t>
      </w:r>
      <w:r w:rsidR="004772FC">
        <w:rPr>
          <w:rFonts w:ascii="Cambria" w:eastAsia="ＭＳ 明朝" w:hAnsi="Cambria" w:cs="Times New Roman"/>
          <w:color w:val="0000FF"/>
        </w:rPr>
        <w:t>NEB</w:t>
      </w:r>
      <w:r w:rsidRPr="007B099C">
        <w:rPr>
          <w:rFonts w:ascii="Cambria" w:eastAsia="ＭＳ 明朝" w:hAnsi="Cambria" w:cs="Times New Roman"/>
          <w:color w:val="0000FF"/>
        </w:rPr>
        <w:t xml:space="preserve"> cat#B9014S)</w:t>
      </w:r>
      <w:r>
        <w:rPr>
          <w:rFonts w:ascii="Cambria" w:eastAsia="ＭＳ 明朝" w:hAnsi="Cambria" w:cs="Times New Roman"/>
          <w:color w:val="0000FF"/>
        </w:rPr>
        <w:tab/>
      </w:r>
      <w:r>
        <w:rPr>
          <w:rFonts w:ascii="Cambria" w:eastAsia="ＭＳ 明朝" w:hAnsi="Cambria" w:cs="Times New Roman"/>
          <w:color w:val="0000FF"/>
        </w:rPr>
        <w:tab/>
      </w:r>
      <w:r w:rsidR="009B4E05">
        <w:rPr>
          <w:rFonts w:ascii="Cambria" w:eastAsia="ＭＳ 明朝" w:hAnsi="Cambria" w:cs="Times New Roman"/>
          <w:color w:val="0000FF"/>
        </w:rPr>
        <w:tab/>
      </w:r>
      <w:r>
        <w:rPr>
          <w:rFonts w:ascii="Cambria" w:eastAsia="ＭＳ 明朝" w:hAnsi="Cambria" w:cs="Times New Roman"/>
        </w:rPr>
        <w:t>= 2µl</w:t>
      </w:r>
      <w:r>
        <w:rPr>
          <w:rFonts w:ascii="Cambria" w:eastAsia="ＭＳ 明朝" w:hAnsi="Cambria" w:cs="Times New Roman"/>
        </w:rPr>
        <w:tab/>
      </w:r>
      <w:r>
        <w:rPr>
          <w:rFonts w:ascii="Cambria" w:eastAsia="ＭＳ 明朝" w:hAnsi="Cambria" w:cs="Times New Roman"/>
        </w:rPr>
        <w:tab/>
        <w:t>1x</w:t>
      </w:r>
    </w:p>
    <w:p w14:paraId="6A444713" w14:textId="391BC72B" w:rsidR="005B2BB4" w:rsidRDefault="005B2BB4" w:rsidP="005B2BB4">
      <w:pPr>
        <w:rPr>
          <w:rFonts w:ascii="Cambria" w:eastAsia="ＭＳ 明朝" w:hAnsi="Cambria" w:cs="Times New Roman"/>
        </w:rPr>
      </w:pPr>
      <w:r>
        <w:rPr>
          <w:rFonts w:ascii="Cambria" w:eastAsia="ＭＳ 明朝" w:hAnsi="Cambria" w:cs="Times New Roman"/>
        </w:rPr>
        <w:t>25mM MgCl</w:t>
      </w:r>
      <w:r>
        <w:rPr>
          <w:rFonts w:ascii="Cambria" w:eastAsia="ＭＳ 明朝" w:hAnsi="Cambria" w:cs="Times New Roman"/>
          <w:vertAlign w:val="subscript"/>
        </w:rPr>
        <w:t>2</w:t>
      </w:r>
      <w:r>
        <w:rPr>
          <w:rFonts w:ascii="Cambria" w:eastAsia="ＭＳ 明朝" w:hAnsi="Cambria" w:cs="Times New Roman"/>
        </w:rPr>
        <w:t xml:space="preserve">      (</w:t>
      </w:r>
      <w:r w:rsidR="004772FC">
        <w:rPr>
          <w:rFonts w:ascii="Cambria" w:eastAsia="ＭＳ 明朝" w:hAnsi="Cambria" w:cs="Times New Roman"/>
          <w:color w:val="0000FF"/>
        </w:rPr>
        <w:t>NEB</w:t>
      </w:r>
      <w:r w:rsidRPr="007B099C">
        <w:rPr>
          <w:rFonts w:ascii="Cambria" w:eastAsia="ＭＳ 明朝" w:hAnsi="Cambria" w:cs="Times New Roman"/>
          <w:color w:val="0000FF"/>
        </w:rPr>
        <w:t xml:space="preserve"> cat# B9021S</w:t>
      </w:r>
      <w:r>
        <w:rPr>
          <w:rFonts w:ascii="Cambria" w:eastAsia="ＭＳ 明朝" w:hAnsi="Cambria" w:cs="Times New Roman"/>
        </w:rPr>
        <w:t>)</w:t>
      </w:r>
      <w:r>
        <w:rPr>
          <w:rFonts w:ascii="Cambria" w:eastAsia="ＭＳ 明朝" w:hAnsi="Cambria" w:cs="Times New Roman"/>
        </w:rPr>
        <w:tab/>
      </w:r>
      <w:r>
        <w:rPr>
          <w:rFonts w:ascii="Cambria" w:eastAsia="ＭＳ 明朝" w:hAnsi="Cambria" w:cs="Times New Roman"/>
        </w:rPr>
        <w:tab/>
        <w:t>= 3.6µl</w:t>
      </w:r>
      <w:r>
        <w:rPr>
          <w:rFonts w:ascii="Cambria" w:eastAsia="ＭＳ 明朝" w:hAnsi="Cambria" w:cs="Times New Roman"/>
        </w:rPr>
        <w:tab/>
      </w:r>
      <w:r>
        <w:rPr>
          <w:rFonts w:ascii="Cambria" w:eastAsia="ＭＳ 明朝" w:hAnsi="Cambria" w:cs="Times New Roman"/>
        </w:rPr>
        <w:tab/>
        <w:t>4.5mM</w:t>
      </w:r>
      <w:r>
        <w:rPr>
          <w:rFonts w:ascii="Cambria" w:eastAsia="ＭＳ 明朝" w:hAnsi="Cambria" w:cs="Times New Roman"/>
        </w:rPr>
        <w:tab/>
      </w:r>
    </w:p>
    <w:p w14:paraId="58679917" w14:textId="77777777" w:rsidR="005B2BB4" w:rsidRDefault="005B2BB4" w:rsidP="005B2BB4">
      <w:pPr>
        <w:rPr>
          <w:rFonts w:ascii="Cambria" w:eastAsia="ＭＳ 明朝" w:hAnsi="Cambria" w:cs="Times New Roman"/>
        </w:rPr>
      </w:pPr>
      <w:r>
        <w:rPr>
          <w:rFonts w:ascii="Cambria" w:eastAsia="ＭＳ 明朝" w:hAnsi="Cambria" w:cs="Times New Roman"/>
        </w:rPr>
        <w:t>BSA 20mg/ml    (</w:t>
      </w:r>
      <w:r w:rsidRPr="007B099C">
        <w:rPr>
          <w:rFonts w:ascii="Cambria" w:eastAsia="ＭＳ 明朝" w:hAnsi="Cambria" w:cs="Times New Roman"/>
          <w:color w:val="0000FF"/>
        </w:rPr>
        <w:t>Fermentas cat#B14</w:t>
      </w:r>
      <w:r>
        <w:rPr>
          <w:rFonts w:ascii="Cambria" w:eastAsia="ＭＳ 明朝" w:hAnsi="Cambria" w:cs="Times New Roman"/>
        </w:rPr>
        <w:t>)</w:t>
      </w:r>
      <w:r>
        <w:rPr>
          <w:rFonts w:ascii="Cambria" w:eastAsia="ＭＳ 明朝" w:hAnsi="Cambria" w:cs="Times New Roman"/>
        </w:rPr>
        <w:tab/>
      </w:r>
      <w:r>
        <w:rPr>
          <w:rFonts w:ascii="Cambria" w:eastAsia="ＭＳ 明朝" w:hAnsi="Cambria" w:cs="Times New Roman"/>
        </w:rPr>
        <w:tab/>
        <w:t>= 0.6µl</w:t>
      </w:r>
      <w:r>
        <w:rPr>
          <w:rFonts w:ascii="Cambria" w:eastAsia="ＭＳ 明朝" w:hAnsi="Cambria" w:cs="Times New Roman"/>
        </w:rPr>
        <w:tab/>
      </w:r>
      <w:r>
        <w:rPr>
          <w:rFonts w:ascii="Cambria" w:eastAsia="ＭＳ 明朝" w:hAnsi="Cambria" w:cs="Times New Roman"/>
        </w:rPr>
        <w:tab/>
        <w:t>0.24mg/ml</w:t>
      </w:r>
    </w:p>
    <w:p w14:paraId="1968E47E" w14:textId="4FBECDF6" w:rsidR="005B2BB4" w:rsidRPr="007B099C" w:rsidRDefault="005B2BB4" w:rsidP="005B2BB4">
      <w:pPr>
        <w:rPr>
          <w:rFonts w:ascii="Cambria" w:eastAsia="ＭＳ 明朝" w:hAnsi="Cambria" w:cs="Times New Roman"/>
        </w:rPr>
      </w:pPr>
      <w:r>
        <w:rPr>
          <w:rFonts w:ascii="Cambria" w:eastAsia="ＭＳ 明朝" w:hAnsi="Cambria" w:cs="Times New Roman"/>
        </w:rPr>
        <w:t>10mM dNTP mix       (</w:t>
      </w:r>
      <w:r w:rsidRPr="007B099C">
        <w:rPr>
          <w:rFonts w:ascii="Cambria" w:eastAsia="ＭＳ 明朝" w:hAnsi="Cambria" w:cs="Times New Roman"/>
          <w:color w:val="0000FF"/>
        </w:rPr>
        <w:t>Fermentas cat#R0192</w:t>
      </w:r>
      <w:r>
        <w:rPr>
          <w:rFonts w:ascii="Cambria" w:eastAsia="ＭＳ 明朝" w:hAnsi="Cambria" w:cs="Times New Roman"/>
        </w:rPr>
        <w:t>)</w:t>
      </w:r>
      <w:r>
        <w:rPr>
          <w:rFonts w:ascii="Cambria" w:eastAsia="ＭＳ 明朝" w:hAnsi="Cambria" w:cs="Times New Roman"/>
        </w:rPr>
        <w:tab/>
        <w:t>= 0.4µl</w:t>
      </w:r>
      <w:r>
        <w:rPr>
          <w:rFonts w:ascii="Cambria" w:eastAsia="ＭＳ 明朝" w:hAnsi="Cambria" w:cs="Times New Roman"/>
        </w:rPr>
        <w:tab/>
      </w:r>
      <w:r>
        <w:rPr>
          <w:rFonts w:ascii="Cambria" w:eastAsia="ＭＳ 明朝" w:hAnsi="Cambria" w:cs="Times New Roman"/>
        </w:rPr>
        <w:tab/>
        <w:t>200nM</w:t>
      </w:r>
    </w:p>
    <w:p w14:paraId="65F02D95" w14:textId="10DAC54D" w:rsidR="005B2BB4" w:rsidRDefault="005B2BB4" w:rsidP="005B2BB4">
      <w:pPr>
        <w:rPr>
          <w:rFonts w:ascii="Cambria" w:eastAsia="ＭＳ 明朝" w:hAnsi="Cambria" w:cs="Times New Roman"/>
        </w:rPr>
      </w:pPr>
      <w:r>
        <w:rPr>
          <w:rFonts w:ascii="Cambria" w:eastAsia="ＭＳ 明朝" w:hAnsi="Cambria" w:cs="Times New Roman"/>
        </w:rPr>
        <w:t xml:space="preserve">2µM </w:t>
      </w:r>
      <w:r w:rsidR="00077908">
        <w:rPr>
          <w:rFonts w:ascii="Cambria" w:eastAsia="ＭＳ 明朝" w:hAnsi="Cambria" w:cs="Times New Roman"/>
        </w:rPr>
        <w:t xml:space="preserve">BC </w:t>
      </w:r>
      <w:r>
        <w:rPr>
          <w:rFonts w:ascii="Cambria" w:eastAsia="ＭＳ 明朝" w:hAnsi="Cambria" w:cs="Times New Roman"/>
        </w:rPr>
        <w:t>primer</w:t>
      </w:r>
      <w:r>
        <w:rPr>
          <w:rFonts w:ascii="Cambria" w:eastAsia="ＭＳ 明朝" w:hAnsi="Cambria" w:cs="Times New Roman"/>
        </w:rPr>
        <w:tab/>
      </w:r>
      <w:r>
        <w:rPr>
          <w:rFonts w:ascii="Cambria" w:eastAsia="ＭＳ 明朝" w:hAnsi="Cambria" w:cs="Times New Roman"/>
        </w:rPr>
        <w:tab/>
      </w:r>
      <w:r>
        <w:rPr>
          <w:rFonts w:ascii="Cambria" w:eastAsia="ＭＳ 明朝" w:hAnsi="Cambria" w:cs="Times New Roman"/>
        </w:rPr>
        <w:tab/>
      </w:r>
      <w:r>
        <w:rPr>
          <w:rFonts w:ascii="Cambria" w:eastAsia="ＭＳ 明朝" w:hAnsi="Cambria" w:cs="Times New Roman"/>
        </w:rPr>
        <w:tab/>
      </w:r>
      <w:r>
        <w:rPr>
          <w:rFonts w:ascii="Cambria" w:eastAsia="ＭＳ 明朝" w:hAnsi="Cambria" w:cs="Times New Roman"/>
        </w:rPr>
        <w:tab/>
        <w:t>= 0.75µl</w:t>
      </w:r>
      <w:r>
        <w:rPr>
          <w:rFonts w:ascii="Cambria" w:eastAsia="ＭＳ 明朝" w:hAnsi="Cambria" w:cs="Times New Roman"/>
        </w:rPr>
        <w:tab/>
        <w:t>75nM</w:t>
      </w:r>
    </w:p>
    <w:p w14:paraId="4A7C7A80" w14:textId="77777777" w:rsidR="005B2BB4" w:rsidRDefault="005B2BB4" w:rsidP="005B2BB4">
      <w:pPr>
        <w:rPr>
          <w:rFonts w:ascii="Cambria" w:eastAsia="ＭＳ 明朝" w:hAnsi="Cambria" w:cs="Times New Roman"/>
        </w:rPr>
      </w:pPr>
      <w:r>
        <w:rPr>
          <w:rFonts w:ascii="Cambria" w:eastAsia="ＭＳ 明朝" w:hAnsi="Cambria" w:cs="Times New Roman"/>
        </w:rPr>
        <w:t>Taq DNA polymerase 5000U/ml</w:t>
      </w:r>
    </w:p>
    <w:p w14:paraId="24744AC2" w14:textId="470A91F1" w:rsidR="005B2BB4" w:rsidRDefault="005B2BB4" w:rsidP="005B2BB4">
      <w:pPr>
        <w:rPr>
          <w:rFonts w:ascii="Cambria" w:eastAsia="ＭＳ 明朝" w:hAnsi="Cambria" w:cs="Times New Roman"/>
        </w:rPr>
      </w:pPr>
      <w:r>
        <w:rPr>
          <w:rFonts w:ascii="Cambria" w:eastAsia="ＭＳ 明朝" w:hAnsi="Cambria" w:cs="Times New Roman"/>
        </w:rPr>
        <w:t>(</w:t>
      </w:r>
      <w:r w:rsidR="004772FC">
        <w:rPr>
          <w:rFonts w:ascii="Cambria" w:eastAsia="ＭＳ 明朝" w:hAnsi="Cambria" w:cs="Times New Roman"/>
          <w:color w:val="0000FF"/>
        </w:rPr>
        <w:t>NEB</w:t>
      </w:r>
      <w:r w:rsidRPr="00185B6A">
        <w:rPr>
          <w:rFonts w:ascii="Cambria" w:eastAsia="ＭＳ 明朝" w:hAnsi="Cambria" w:cs="Times New Roman"/>
          <w:color w:val="0000FF"/>
        </w:rPr>
        <w:t xml:space="preserve"> cat#M0273S</w:t>
      </w:r>
      <w:r>
        <w:rPr>
          <w:rFonts w:ascii="Cambria" w:eastAsia="ＭＳ 明朝" w:hAnsi="Cambria" w:cs="Times New Roman"/>
        </w:rPr>
        <w:t>)</w:t>
      </w:r>
      <w:r>
        <w:rPr>
          <w:rFonts w:ascii="Cambria" w:eastAsia="ＭＳ 明朝" w:hAnsi="Cambria" w:cs="Times New Roman"/>
        </w:rPr>
        <w:tab/>
      </w:r>
      <w:r>
        <w:rPr>
          <w:rFonts w:ascii="Cambria" w:eastAsia="ＭＳ 明朝" w:hAnsi="Cambria" w:cs="Times New Roman"/>
        </w:rPr>
        <w:tab/>
      </w:r>
      <w:r>
        <w:rPr>
          <w:rFonts w:ascii="Cambria" w:eastAsia="ＭＳ 明朝" w:hAnsi="Cambria" w:cs="Times New Roman"/>
        </w:rPr>
        <w:tab/>
      </w:r>
      <w:r>
        <w:rPr>
          <w:rFonts w:ascii="Cambria" w:eastAsia="ＭＳ 明朝" w:hAnsi="Cambria" w:cs="Times New Roman"/>
        </w:rPr>
        <w:tab/>
      </w:r>
      <w:r w:rsidR="003A7AEB">
        <w:rPr>
          <w:rFonts w:ascii="Cambria" w:eastAsia="ＭＳ 明朝" w:hAnsi="Cambria" w:cs="Times New Roman"/>
        </w:rPr>
        <w:tab/>
      </w:r>
      <w:r>
        <w:rPr>
          <w:rFonts w:ascii="Cambria" w:eastAsia="ＭＳ 明朝" w:hAnsi="Cambria" w:cs="Times New Roman"/>
        </w:rPr>
        <w:t>= 0.20µl</w:t>
      </w:r>
      <w:r>
        <w:rPr>
          <w:rFonts w:ascii="Cambria" w:eastAsia="ＭＳ 明朝" w:hAnsi="Cambria" w:cs="Times New Roman"/>
        </w:rPr>
        <w:tab/>
        <w:t>0.050U/µl</w:t>
      </w:r>
      <w:r>
        <w:rPr>
          <w:rFonts w:ascii="Cambria" w:eastAsia="ＭＳ 明朝" w:hAnsi="Cambria" w:cs="Times New Roman"/>
        </w:rPr>
        <w:tab/>
      </w:r>
    </w:p>
    <w:p w14:paraId="1C64A82E" w14:textId="71687192" w:rsidR="005B2BB4" w:rsidRDefault="005B2BB4" w:rsidP="005B2BB4">
      <w:pPr>
        <w:rPr>
          <w:rFonts w:ascii="Cambria" w:eastAsia="ＭＳ 明朝" w:hAnsi="Cambria" w:cs="Times New Roman"/>
        </w:rPr>
      </w:pPr>
      <w:r>
        <w:rPr>
          <w:rFonts w:ascii="Cambria" w:eastAsia="ＭＳ 明朝" w:hAnsi="Cambria" w:cs="Times New Roman"/>
        </w:rPr>
        <w:t>Nucle</w:t>
      </w:r>
      <w:r w:rsidR="005942EA">
        <w:rPr>
          <w:rFonts w:ascii="Cambria" w:eastAsia="ＭＳ 明朝" w:hAnsi="Cambria" w:cs="Times New Roman"/>
        </w:rPr>
        <w:t>ase-free PCR grade water</w:t>
      </w:r>
      <w:r w:rsidR="005942EA">
        <w:rPr>
          <w:rFonts w:ascii="Cambria" w:eastAsia="ＭＳ 明朝" w:hAnsi="Cambria" w:cs="Times New Roman"/>
        </w:rPr>
        <w:tab/>
      </w:r>
      <w:r w:rsidR="005942EA">
        <w:rPr>
          <w:rFonts w:ascii="Cambria" w:eastAsia="ＭＳ 明朝" w:hAnsi="Cambria" w:cs="Times New Roman"/>
        </w:rPr>
        <w:tab/>
      </w:r>
      <w:r w:rsidR="005942EA">
        <w:rPr>
          <w:rFonts w:ascii="Cambria" w:eastAsia="ＭＳ 明朝" w:hAnsi="Cambria" w:cs="Times New Roman"/>
        </w:rPr>
        <w:tab/>
        <w:t>= 11.45µl</w:t>
      </w:r>
      <w:r>
        <w:rPr>
          <w:rFonts w:ascii="Cambria" w:eastAsia="ＭＳ 明朝" w:hAnsi="Cambria" w:cs="Times New Roman"/>
        </w:rPr>
        <w:tab/>
      </w:r>
    </w:p>
    <w:p w14:paraId="5C94ACEC" w14:textId="2F17B147" w:rsidR="005B2BB4" w:rsidRDefault="00176627" w:rsidP="00775837">
      <w:pPr>
        <w:rPr>
          <w:rFonts w:ascii="Cambria" w:eastAsia="ＭＳ 明朝" w:hAnsi="Cambria" w:cs="Times New Roman"/>
        </w:rPr>
      </w:pPr>
      <w:r>
        <w:rPr>
          <w:rFonts w:ascii="Cambria" w:eastAsia="ＭＳ 明朝" w:hAnsi="Cambria" w:cs="Times New Roman"/>
        </w:rPr>
        <w:t>Template DNA</w:t>
      </w:r>
      <w:r>
        <w:rPr>
          <w:rFonts w:ascii="Cambria" w:eastAsia="ＭＳ 明朝" w:hAnsi="Cambria" w:cs="Times New Roman"/>
        </w:rPr>
        <w:tab/>
      </w:r>
      <w:r>
        <w:rPr>
          <w:rFonts w:ascii="Cambria" w:eastAsia="ＭＳ 明朝" w:hAnsi="Cambria" w:cs="Times New Roman"/>
        </w:rPr>
        <w:tab/>
      </w:r>
      <w:r w:rsidR="00775837">
        <w:rPr>
          <w:rFonts w:ascii="Cambria" w:eastAsia="ＭＳ 明朝" w:hAnsi="Cambria" w:cs="Times New Roman"/>
        </w:rPr>
        <w:tab/>
      </w:r>
      <w:r w:rsidR="00775837">
        <w:rPr>
          <w:rFonts w:ascii="Cambria" w:eastAsia="ＭＳ 明朝" w:hAnsi="Cambria" w:cs="Times New Roman"/>
        </w:rPr>
        <w:tab/>
      </w:r>
      <w:r w:rsidR="00775837">
        <w:rPr>
          <w:rFonts w:ascii="Cambria" w:eastAsia="ＭＳ 明朝" w:hAnsi="Cambria" w:cs="Times New Roman"/>
        </w:rPr>
        <w:tab/>
        <w:t>= 1.0µl</w:t>
      </w:r>
      <w:r w:rsidR="00775837">
        <w:rPr>
          <w:rFonts w:ascii="Cambria" w:eastAsia="ＭＳ 明朝" w:hAnsi="Cambria" w:cs="Times New Roman"/>
        </w:rPr>
        <w:tab/>
      </w:r>
      <w:r w:rsidR="00775837">
        <w:rPr>
          <w:rFonts w:ascii="Cambria" w:eastAsia="ＭＳ 明朝" w:hAnsi="Cambria" w:cs="Times New Roman"/>
        </w:rPr>
        <w:tab/>
        <w:t xml:space="preserve">diluted first </w:t>
      </w:r>
      <w:r w:rsidR="005B2BB4">
        <w:rPr>
          <w:rFonts w:ascii="Cambria" w:eastAsia="ＭＳ 明朝" w:hAnsi="Cambria" w:cs="Times New Roman"/>
        </w:rPr>
        <w:t>PCR product</w:t>
      </w:r>
    </w:p>
    <w:p w14:paraId="4EBACD20" w14:textId="77777777" w:rsidR="005B2BB4" w:rsidRDefault="005B2BB4" w:rsidP="005B2BB4">
      <w:pPr>
        <w:rPr>
          <w:rFonts w:ascii="Cambria" w:eastAsia="ＭＳ 明朝" w:hAnsi="Cambria" w:cs="Times New Roman"/>
        </w:rPr>
      </w:pPr>
      <w:r>
        <w:rPr>
          <w:rFonts w:ascii="Cambria" w:eastAsia="ＭＳ 明朝" w:hAnsi="Cambria" w:cs="Times New Roman"/>
        </w:rPr>
        <w:t>---------------------------------------------------------------------------</w:t>
      </w:r>
    </w:p>
    <w:p w14:paraId="17B6445A" w14:textId="1BC37641" w:rsidR="00396C39" w:rsidRPr="00363020" w:rsidRDefault="005942EA" w:rsidP="005942EA">
      <w:pPr>
        <w:rPr>
          <w:rFonts w:ascii="Cambria" w:eastAsia="ＭＳ 明朝" w:hAnsi="Cambria" w:cs="Times New Roman"/>
        </w:rPr>
      </w:pPr>
      <w:r>
        <w:rPr>
          <w:rFonts w:ascii="Cambria" w:eastAsia="ＭＳ 明朝" w:hAnsi="Cambria" w:cs="Times New Roman"/>
        </w:rPr>
        <w:t>Total reaction volume</w:t>
      </w:r>
      <w:r>
        <w:rPr>
          <w:rFonts w:ascii="Cambria" w:eastAsia="ＭＳ 明朝" w:hAnsi="Cambria" w:cs="Times New Roman"/>
        </w:rPr>
        <w:tab/>
      </w:r>
      <w:r>
        <w:rPr>
          <w:rFonts w:ascii="Cambria" w:eastAsia="ＭＳ 明朝" w:hAnsi="Cambria" w:cs="Times New Roman"/>
        </w:rPr>
        <w:tab/>
      </w:r>
      <w:r>
        <w:rPr>
          <w:rFonts w:ascii="Cambria" w:eastAsia="ＭＳ 明朝" w:hAnsi="Cambria" w:cs="Times New Roman"/>
        </w:rPr>
        <w:tab/>
      </w:r>
      <w:r>
        <w:rPr>
          <w:rFonts w:ascii="Cambria" w:eastAsia="ＭＳ 明朝" w:hAnsi="Cambria" w:cs="Times New Roman"/>
        </w:rPr>
        <w:tab/>
        <w:t>= 2</w:t>
      </w:r>
      <w:r w:rsidR="005B2BB4">
        <w:rPr>
          <w:rFonts w:ascii="Cambria" w:eastAsia="ＭＳ 明朝" w:hAnsi="Cambria" w:cs="Times New Roman"/>
        </w:rPr>
        <w:t>0µl</w:t>
      </w:r>
    </w:p>
    <w:p w14:paraId="3C898409" w14:textId="16E75B73" w:rsidR="00F52E50" w:rsidRDefault="00F52E50">
      <w:pPr>
        <w:rPr>
          <w:rFonts w:ascii="Cambria" w:eastAsia="ＭＳ 明朝" w:hAnsi="Cambria" w:cs="Times New Roman"/>
        </w:rPr>
      </w:pPr>
      <w:r>
        <w:rPr>
          <w:rFonts w:ascii="Cambria" w:eastAsia="ＭＳ 明朝" w:hAnsi="Cambria" w:cs="Times New Roman"/>
        </w:rPr>
        <w:t>---------------------------------------------------------------------------</w:t>
      </w:r>
      <w:r>
        <w:rPr>
          <w:rFonts w:ascii="Cambria" w:eastAsia="ＭＳ 明朝" w:hAnsi="Cambria" w:cs="Times New Roman"/>
        </w:rPr>
        <w:br w:type="page"/>
      </w:r>
    </w:p>
    <w:p w14:paraId="7AF26F9B" w14:textId="7178A61C" w:rsidR="005942EA" w:rsidRPr="00396C39" w:rsidRDefault="005942EA" w:rsidP="005942EA">
      <w:pPr>
        <w:rPr>
          <w:rFonts w:ascii="Cambria" w:eastAsia="ＭＳ 明朝" w:hAnsi="Cambria" w:cs="Times New Roman"/>
          <w:u w:val="single"/>
        </w:rPr>
      </w:pPr>
      <w:r>
        <w:rPr>
          <w:rFonts w:ascii="Cambria" w:eastAsia="ＭＳ 明朝" w:hAnsi="Cambria" w:cs="Times New Roman"/>
        </w:rPr>
        <w:t>95ºC</w:t>
      </w:r>
      <w:r>
        <w:rPr>
          <w:rFonts w:ascii="Cambria" w:eastAsia="ＭＳ 明朝" w:hAnsi="Cambria" w:cs="Times New Roman"/>
        </w:rPr>
        <w:tab/>
        <w:t>10 min</w:t>
      </w:r>
    </w:p>
    <w:p w14:paraId="41B07F6D" w14:textId="77777777" w:rsidR="005942EA" w:rsidRDefault="005942EA" w:rsidP="005942EA">
      <w:pPr>
        <w:rPr>
          <w:rFonts w:ascii="Cambria" w:eastAsia="ＭＳ 明朝" w:hAnsi="Cambria" w:cs="Times New Roman"/>
        </w:rPr>
      </w:pPr>
      <w:r>
        <w:rPr>
          <w:rFonts w:ascii="Cambria" w:eastAsia="ＭＳ 明朝" w:hAnsi="Cambria" w:cs="Times New Roman"/>
        </w:rPr>
        <w:t>-----------------</w:t>
      </w:r>
    </w:p>
    <w:p w14:paraId="2B1544A7" w14:textId="1DBFE73A" w:rsidR="005942EA" w:rsidRPr="0084678A" w:rsidRDefault="00176627" w:rsidP="005942EA">
      <w:pPr>
        <w:rPr>
          <w:rFonts w:ascii="Cambria" w:eastAsia="ＭＳ 明朝" w:hAnsi="Cambria" w:cs="Times New Roman"/>
        </w:rPr>
      </w:pPr>
      <w:r>
        <w:rPr>
          <w:rFonts w:ascii="Cambria" w:eastAsia="ＭＳ 明朝" w:hAnsi="Cambria" w:cs="Times New Roman"/>
          <w:i/>
          <w:u w:val="single"/>
        </w:rPr>
        <w:t>10</w:t>
      </w:r>
      <w:r w:rsidR="005942EA" w:rsidRPr="00377481">
        <w:rPr>
          <w:rFonts w:ascii="Cambria" w:eastAsia="ＭＳ 明朝" w:hAnsi="Cambria" w:cs="Times New Roman"/>
          <w:i/>
          <w:u w:val="single"/>
        </w:rPr>
        <w:t xml:space="preserve"> cycles</w:t>
      </w:r>
      <w:r w:rsidR="005942EA" w:rsidRPr="00377481">
        <w:rPr>
          <w:rFonts w:ascii="Cambria" w:eastAsia="ＭＳ 明朝" w:hAnsi="Cambria" w:cs="Times New Roman"/>
          <w:i/>
        </w:rPr>
        <w:t xml:space="preserve"> of</w:t>
      </w:r>
    </w:p>
    <w:p w14:paraId="69F77C27" w14:textId="752C142D" w:rsidR="005942EA" w:rsidRDefault="005942EA" w:rsidP="005942EA">
      <w:pPr>
        <w:rPr>
          <w:rFonts w:ascii="Cambria" w:eastAsia="ＭＳ 明朝" w:hAnsi="Cambria" w:cs="Times New Roman"/>
        </w:rPr>
      </w:pPr>
      <w:r>
        <w:rPr>
          <w:rFonts w:ascii="Cambria" w:eastAsia="ＭＳ 明朝" w:hAnsi="Cambria" w:cs="Times New Roman"/>
        </w:rPr>
        <w:t>95ºC</w:t>
      </w:r>
      <w:r>
        <w:rPr>
          <w:rFonts w:ascii="Cambria" w:eastAsia="ＭＳ 明朝" w:hAnsi="Cambria" w:cs="Times New Roman"/>
        </w:rPr>
        <w:tab/>
        <w:t>15 sec</w:t>
      </w:r>
    </w:p>
    <w:p w14:paraId="5662DAEE" w14:textId="4E07204C" w:rsidR="005942EA" w:rsidRDefault="005942EA" w:rsidP="005942EA">
      <w:pPr>
        <w:rPr>
          <w:rFonts w:ascii="Cambria" w:eastAsia="ＭＳ 明朝" w:hAnsi="Cambria" w:cs="Times New Roman"/>
        </w:rPr>
      </w:pPr>
      <w:r>
        <w:rPr>
          <w:rFonts w:ascii="Cambria" w:eastAsia="ＭＳ 明朝" w:hAnsi="Cambria" w:cs="Times New Roman"/>
        </w:rPr>
        <w:t>51ºC</w:t>
      </w:r>
      <w:r>
        <w:rPr>
          <w:rFonts w:ascii="Cambria" w:eastAsia="ＭＳ 明朝" w:hAnsi="Cambria" w:cs="Times New Roman"/>
        </w:rPr>
        <w:tab/>
        <w:t>30 sec</w:t>
      </w:r>
    </w:p>
    <w:p w14:paraId="2975B27B" w14:textId="77777777" w:rsidR="005942EA" w:rsidRDefault="005942EA" w:rsidP="005942EA">
      <w:pPr>
        <w:rPr>
          <w:rFonts w:ascii="Cambria" w:eastAsia="ＭＳ 明朝" w:hAnsi="Cambria" w:cs="Times New Roman"/>
        </w:rPr>
      </w:pPr>
      <w:r>
        <w:rPr>
          <w:rFonts w:ascii="Cambria" w:eastAsia="ＭＳ 明朝" w:hAnsi="Cambria" w:cs="Times New Roman"/>
        </w:rPr>
        <w:t>72ºC</w:t>
      </w:r>
      <w:r>
        <w:rPr>
          <w:rFonts w:ascii="Cambria" w:eastAsia="ＭＳ 明朝" w:hAnsi="Cambria" w:cs="Times New Roman"/>
        </w:rPr>
        <w:tab/>
        <w:t>1 min</w:t>
      </w:r>
    </w:p>
    <w:p w14:paraId="234CE03E" w14:textId="77777777" w:rsidR="005942EA" w:rsidRDefault="005942EA" w:rsidP="005942EA">
      <w:pPr>
        <w:rPr>
          <w:rFonts w:ascii="Cambria" w:eastAsia="ＭＳ 明朝" w:hAnsi="Cambria" w:cs="Times New Roman"/>
        </w:rPr>
      </w:pPr>
      <w:r>
        <w:rPr>
          <w:rFonts w:ascii="Cambria" w:eastAsia="ＭＳ 明朝" w:hAnsi="Cambria" w:cs="Times New Roman"/>
        </w:rPr>
        <w:t>-----------------</w:t>
      </w:r>
    </w:p>
    <w:p w14:paraId="57436FE8" w14:textId="532183A8" w:rsidR="005942EA" w:rsidRDefault="005942EA" w:rsidP="005942EA">
      <w:pPr>
        <w:rPr>
          <w:rFonts w:ascii="Cambria" w:eastAsia="ＭＳ 明朝" w:hAnsi="Cambria" w:cs="Times New Roman"/>
        </w:rPr>
      </w:pPr>
      <w:r>
        <w:rPr>
          <w:rFonts w:ascii="Cambria" w:eastAsia="ＭＳ 明朝" w:hAnsi="Cambria" w:cs="Times New Roman"/>
        </w:rPr>
        <w:t>72ºC</w:t>
      </w:r>
      <w:r>
        <w:rPr>
          <w:rFonts w:ascii="Cambria" w:eastAsia="ＭＳ 明朝" w:hAnsi="Cambria" w:cs="Times New Roman"/>
        </w:rPr>
        <w:tab/>
        <w:t>3 min</w:t>
      </w:r>
    </w:p>
    <w:p w14:paraId="5128F8C3" w14:textId="77777777" w:rsidR="005942EA" w:rsidRDefault="005942EA" w:rsidP="005942EA">
      <w:pPr>
        <w:rPr>
          <w:rFonts w:ascii="Cambria" w:eastAsia="ＭＳ 明朝" w:hAnsi="Cambria" w:cs="Times New Roman"/>
        </w:rPr>
      </w:pPr>
      <w:r>
        <w:rPr>
          <w:rFonts w:ascii="Cambria" w:eastAsia="ＭＳ 明朝" w:hAnsi="Cambria" w:cs="Times New Roman"/>
        </w:rPr>
        <w:t>10ºC</w:t>
      </w:r>
      <w:r>
        <w:rPr>
          <w:rFonts w:ascii="Cambria" w:eastAsia="ＭＳ 明朝" w:hAnsi="Cambria" w:cs="Times New Roman"/>
        </w:rPr>
        <w:tab/>
        <w:t>∞</w:t>
      </w:r>
    </w:p>
    <w:p w14:paraId="7C2F36C6" w14:textId="77777777" w:rsidR="005B2BB4" w:rsidRDefault="005B2BB4" w:rsidP="00CA7865">
      <w:pPr>
        <w:rPr>
          <w:rFonts w:ascii="Cambria" w:eastAsia="ＭＳ 明朝" w:hAnsi="Cambria" w:cs="Times New Roman"/>
        </w:rPr>
      </w:pPr>
    </w:p>
    <w:p w14:paraId="1260B3B8" w14:textId="4A04508B" w:rsidR="00396C39" w:rsidRPr="00396C39" w:rsidRDefault="00396C39" w:rsidP="00CA7865">
      <w:pPr>
        <w:rPr>
          <w:rFonts w:ascii="Cambria" w:eastAsia="ＭＳ 明朝" w:hAnsi="Cambria" w:cs="Times New Roman"/>
          <w:b/>
        </w:rPr>
      </w:pPr>
      <w:r>
        <w:rPr>
          <w:rFonts w:ascii="Cambria" w:eastAsia="ＭＳ 明朝" w:hAnsi="Cambria" w:cs="Times New Roman"/>
          <w:b/>
        </w:rPr>
        <w:t xml:space="preserve">F. </w:t>
      </w:r>
      <w:r w:rsidRPr="00396C39">
        <w:rPr>
          <w:rFonts w:ascii="Cambria" w:eastAsia="ＭＳ 明朝" w:hAnsi="Cambria" w:cs="Times New Roman"/>
          <w:b/>
        </w:rPr>
        <w:t>Quality analysis of PCR products</w:t>
      </w:r>
      <w:r w:rsidR="003E58BE">
        <w:rPr>
          <w:rFonts w:ascii="Cambria" w:eastAsia="ＭＳ 明朝" w:hAnsi="Cambria" w:cs="Times New Roman"/>
          <w:b/>
        </w:rPr>
        <w:t xml:space="preserve"> using a Bioanalyzer</w:t>
      </w:r>
    </w:p>
    <w:p w14:paraId="7B510BAB" w14:textId="77777777" w:rsidR="00396C39" w:rsidRDefault="00396C39" w:rsidP="00CA7865">
      <w:pPr>
        <w:rPr>
          <w:rFonts w:ascii="Cambria" w:eastAsia="ＭＳ 明朝" w:hAnsi="Cambria" w:cs="Times New Roman"/>
        </w:rPr>
      </w:pPr>
    </w:p>
    <w:p w14:paraId="228456D8" w14:textId="77777777" w:rsidR="003E58BE" w:rsidRDefault="003E58BE" w:rsidP="003E58BE">
      <w:pPr>
        <w:rPr>
          <w:rFonts w:ascii="Cambria" w:eastAsia="ＭＳ 明朝" w:hAnsi="Cambria" w:cs="Times New Roman"/>
        </w:rPr>
      </w:pPr>
      <w:r>
        <w:rPr>
          <w:rFonts w:ascii="Cambria" w:eastAsia="ＭＳ 明朝" w:hAnsi="Cambria" w:cs="Times New Roman"/>
        </w:rPr>
        <w:t xml:space="preserve">8. Check 1µl of the PCR product on the Agilent Bioanalyzer (BA) using the Agilent DNA 1000 kit. Follow the </w:t>
      </w:r>
      <w:r w:rsidRPr="00C45E5B">
        <w:rPr>
          <w:rFonts w:ascii="Cambria" w:eastAsia="ＭＳ 明朝" w:hAnsi="Cambria" w:cs="Times New Roman"/>
          <w:i/>
        </w:rPr>
        <w:t>Agilent DNA 1000 kit Guide</w:t>
      </w:r>
      <w:r>
        <w:rPr>
          <w:rFonts w:ascii="Cambria" w:eastAsia="ＭＳ 明朝" w:hAnsi="Cambria" w:cs="Times New Roman"/>
        </w:rPr>
        <w:t xml:space="preserve"> for details.</w:t>
      </w:r>
    </w:p>
    <w:p w14:paraId="5CCC2A5E" w14:textId="77777777" w:rsidR="00FD783A" w:rsidRDefault="00FD783A" w:rsidP="00CA7865">
      <w:pPr>
        <w:rPr>
          <w:rFonts w:ascii="Cambria" w:eastAsia="ＭＳ 明朝" w:hAnsi="Cambria" w:cs="Times New Roman"/>
        </w:rPr>
      </w:pPr>
    </w:p>
    <w:p w14:paraId="6336B3B1" w14:textId="13698924" w:rsidR="00141BEA" w:rsidRPr="00F07FA7" w:rsidRDefault="0016220E" w:rsidP="00CA7865">
      <w:pPr>
        <w:rPr>
          <w:rFonts w:ascii="Cambria" w:eastAsia="ＭＳ 明朝" w:hAnsi="Cambria" w:cs="Times New Roman"/>
        </w:rPr>
      </w:pPr>
      <w:r>
        <w:rPr>
          <w:rFonts w:ascii="Cambria" w:eastAsia="ＭＳ 明朝" w:hAnsi="Cambria" w:cs="Times New Roman"/>
          <w:b/>
        </w:rPr>
        <w:t>Fig 5</w:t>
      </w:r>
      <w:r w:rsidR="00141BEA">
        <w:rPr>
          <w:rFonts w:ascii="Cambria" w:eastAsia="ＭＳ 明朝" w:hAnsi="Cambria" w:cs="Times New Roman"/>
          <w:b/>
        </w:rPr>
        <w:t>.</w:t>
      </w:r>
      <w:r w:rsidR="003E58BE">
        <w:rPr>
          <w:rFonts w:ascii="Cambria" w:eastAsia="ＭＳ 明朝" w:hAnsi="Cambria" w:cs="Times New Roman"/>
          <w:b/>
        </w:rPr>
        <w:t xml:space="preserve"> </w:t>
      </w:r>
      <w:r w:rsidR="003E58BE">
        <w:rPr>
          <w:rFonts w:ascii="Cambria" w:eastAsia="ＭＳ 明朝" w:hAnsi="Cambria" w:cs="Times New Roman"/>
        </w:rPr>
        <w:t xml:space="preserve">Typical Bioanalyzer traces </w:t>
      </w:r>
      <w:r w:rsidR="00F07FA7">
        <w:rPr>
          <w:rFonts w:ascii="Cambria" w:eastAsia="ＭＳ 明朝" w:hAnsi="Cambria" w:cs="Times New Roman"/>
        </w:rPr>
        <w:t xml:space="preserve">after the second PCR </w:t>
      </w:r>
      <w:r w:rsidR="003E58BE">
        <w:rPr>
          <w:rFonts w:ascii="Cambria" w:eastAsia="ＭＳ 明朝" w:hAnsi="Cambria" w:cs="Times New Roman"/>
        </w:rPr>
        <w:t>are shown below. These BA traces show that when excess concentrations of primers are used large amounts of primer-dimers are p</w:t>
      </w:r>
      <w:r w:rsidR="00F52E50">
        <w:rPr>
          <w:rFonts w:ascii="Cambria" w:eastAsia="ＭＳ 明朝" w:hAnsi="Cambria" w:cs="Times New Roman"/>
        </w:rPr>
        <w:t>resent in the PCR product (</w:t>
      </w:r>
      <w:r w:rsidR="003E58BE">
        <w:rPr>
          <w:rFonts w:ascii="Cambria" w:eastAsia="ＭＳ 明朝" w:hAnsi="Cambria" w:cs="Times New Roman"/>
        </w:rPr>
        <w:t>A,</w:t>
      </w:r>
      <w:r w:rsidR="00F52E50">
        <w:rPr>
          <w:rFonts w:ascii="Cambria" w:eastAsia="ＭＳ 明朝" w:hAnsi="Cambria" w:cs="Times New Roman"/>
        </w:rPr>
        <w:t xml:space="preserve"> B).  A negative control (</w:t>
      </w:r>
      <w:r w:rsidR="003E58BE">
        <w:rPr>
          <w:rFonts w:ascii="Cambria" w:eastAsia="ＭＳ 明朝" w:hAnsi="Cambria" w:cs="Times New Roman"/>
        </w:rPr>
        <w:t xml:space="preserve">C) is shown with these high primer concentrations. The peak seen next to the lower marker (at 15bp) is </w:t>
      </w:r>
      <w:r w:rsidR="00F52E50">
        <w:rPr>
          <w:rFonts w:ascii="Cambria" w:eastAsia="ＭＳ 明朝" w:hAnsi="Cambria" w:cs="Times New Roman"/>
        </w:rPr>
        <w:t xml:space="preserve">a peak of </w:t>
      </w:r>
      <w:r w:rsidR="003E58BE">
        <w:rPr>
          <w:rFonts w:ascii="Cambria" w:eastAsia="ＭＳ 明朝" w:hAnsi="Cambria" w:cs="Times New Roman"/>
        </w:rPr>
        <w:t>primer dimers.</w:t>
      </w:r>
      <w:r w:rsidR="00F07FA7">
        <w:rPr>
          <w:rFonts w:ascii="Cambria" w:eastAsia="ＭＳ 明朝" w:hAnsi="Cambria" w:cs="Times New Roman"/>
        </w:rPr>
        <w:t xml:space="preserve"> The optimal primer concentration to use is shown in Fig 4D. It should be noted that use of 75nM or lesser primer concentration in the second PCR reaction would substantially minimize the primer-dimers when compared to 100nM or higher primer concentrations (as seen in Fig 4A-C).</w:t>
      </w:r>
    </w:p>
    <w:p w14:paraId="2292C78E" w14:textId="77777777" w:rsidR="003E58BE" w:rsidRDefault="003E58BE" w:rsidP="004F73D5">
      <w:pPr>
        <w:tabs>
          <w:tab w:val="left" w:pos="5240"/>
        </w:tabs>
        <w:rPr>
          <w:rFonts w:ascii="Cambria" w:eastAsia="ＭＳ 明朝" w:hAnsi="Cambria" w:cs="Times New Roman"/>
        </w:rPr>
      </w:pPr>
    </w:p>
    <w:p w14:paraId="0FB63FDB" w14:textId="77777777" w:rsidR="00F07FA7" w:rsidRDefault="00F07FA7" w:rsidP="004F73D5">
      <w:pPr>
        <w:tabs>
          <w:tab w:val="left" w:pos="5240"/>
        </w:tabs>
        <w:rPr>
          <w:rFonts w:ascii="Cambria" w:eastAsia="ＭＳ 明朝" w:hAnsi="Cambria" w:cs="Times New Roman"/>
        </w:rPr>
      </w:pPr>
    </w:p>
    <w:p w14:paraId="78FDD0E9" w14:textId="723AF586" w:rsidR="0084678A" w:rsidRDefault="004F73D5" w:rsidP="004F73D5">
      <w:pPr>
        <w:tabs>
          <w:tab w:val="left" w:pos="5240"/>
        </w:tabs>
        <w:rPr>
          <w:rFonts w:ascii="Cambria" w:eastAsia="ＭＳ 明朝" w:hAnsi="Cambria" w:cs="Times New Roman"/>
        </w:rPr>
      </w:pPr>
      <w:r>
        <w:rPr>
          <w:rFonts w:ascii="Cambria" w:eastAsia="ＭＳ 明朝" w:hAnsi="Cambria" w:cs="Times New Roman"/>
        </w:rPr>
        <w:t>A.</w:t>
      </w:r>
      <w:r>
        <w:rPr>
          <w:rFonts w:ascii="Cambria" w:eastAsia="ＭＳ 明朝" w:hAnsi="Cambria" w:cs="Times New Roman"/>
        </w:rPr>
        <w:tab/>
        <w:t>B.</w:t>
      </w:r>
    </w:p>
    <w:p w14:paraId="64DEFE7D" w14:textId="45DBEAB4" w:rsidR="00141BEA" w:rsidRDefault="00141BEA" w:rsidP="00CA7865">
      <w:pPr>
        <w:rPr>
          <w:rFonts w:ascii="Cambria" w:eastAsia="ＭＳ 明朝" w:hAnsi="Cambria" w:cs="Times New Roman"/>
        </w:rPr>
      </w:pPr>
      <w:r>
        <w:rPr>
          <w:rFonts w:ascii="Cambria" w:eastAsia="ＭＳ 明朝" w:hAnsi="Cambria" w:cs="Times New Roman"/>
          <w:noProof/>
          <w:lang w:eastAsia="en-US"/>
        </w:rPr>
        <w:drawing>
          <wp:inline distT="0" distB="0" distL="0" distR="0" wp14:anchorId="2187104C" wp14:editId="522DBDC0">
            <wp:extent cx="2896658" cy="151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96658" cy="1511300"/>
                    </a:xfrm>
                    <a:prstGeom prst="rect">
                      <a:avLst/>
                    </a:prstGeom>
                    <a:noFill/>
                    <a:ln>
                      <a:noFill/>
                    </a:ln>
                  </pic:spPr>
                </pic:pic>
              </a:graphicData>
            </a:graphic>
          </wp:inline>
        </w:drawing>
      </w:r>
      <w:r w:rsidRPr="00141BEA">
        <w:rPr>
          <w:rFonts w:ascii="Cambria" w:eastAsia="ＭＳ 明朝" w:hAnsi="Cambria" w:cs="Times New Roman"/>
          <w:noProof/>
          <w:lang w:eastAsia="en-US"/>
        </w:rPr>
        <w:drawing>
          <wp:inline distT="0" distB="0" distL="0" distR="0" wp14:anchorId="20C7E51E" wp14:editId="54BD18CA">
            <wp:extent cx="2821646" cy="14605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1646" cy="1460500"/>
                    </a:xfrm>
                    <a:prstGeom prst="rect">
                      <a:avLst/>
                    </a:prstGeom>
                    <a:noFill/>
                    <a:ln>
                      <a:noFill/>
                    </a:ln>
                  </pic:spPr>
                </pic:pic>
              </a:graphicData>
            </a:graphic>
          </wp:inline>
        </w:drawing>
      </w:r>
    </w:p>
    <w:p w14:paraId="4D5236BA" w14:textId="77777777" w:rsidR="00141BEA" w:rsidRDefault="00141BEA" w:rsidP="00CA7865">
      <w:pPr>
        <w:rPr>
          <w:rFonts w:ascii="Cambria" w:eastAsia="ＭＳ 明朝" w:hAnsi="Cambria" w:cs="Times New Roman"/>
        </w:rPr>
      </w:pPr>
    </w:p>
    <w:p w14:paraId="5DBC7A9D" w14:textId="77777777" w:rsidR="00F07FA7" w:rsidRDefault="00F07FA7" w:rsidP="004F73D5">
      <w:pPr>
        <w:tabs>
          <w:tab w:val="center" w:pos="4680"/>
        </w:tabs>
        <w:rPr>
          <w:rFonts w:ascii="Cambria" w:eastAsia="ＭＳ 明朝" w:hAnsi="Cambria" w:cs="Times New Roman"/>
        </w:rPr>
      </w:pPr>
    </w:p>
    <w:p w14:paraId="660A50E3" w14:textId="34255257" w:rsidR="00141BEA" w:rsidRDefault="004F73D5" w:rsidP="004F73D5">
      <w:pPr>
        <w:tabs>
          <w:tab w:val="center" w:pos="4680"/>
        </w:tabs>
        <w:rPr>
          <w:rFonts w:ascii="Cambria" w:eastAsia="ＭＳ 明朝" w:hAnsi="Cambria" w:cs="Times New Roman"/>
        </w:rPr>
      </w:pPr>
      <w:r>
        <w:rPr>
          <w:rFonts w:ascii="Cambria" w:eastAsia="ＭＳ 明朝" w:hAnsi="Cambria" w:cs="Times New Roman"/>
        </w:rPr>
        <w:t>C.</w:t>
      </w:r>
      <w:r>
        <w:rPr>
          <w:rFonts w:ascii="Cambria" w:eastAsia="ＭＳ 明朝" w:hAnsi="Cambria" w:cs="Times New Roman"/>
        </w:rPr>
        <w:tab/>
        <w:t>D.</w:t>
      </w:r>
    </w:p>
    <w:p w14:paraId="34CE1412" w14:textId="29A3F988" w:rsidR="00141BEA" w:rsidRDefault="00174187" w:rsidP="00CA7865">
      <w:pPr>
        <w:rPr>
          <w:rFonts w:ascii="Cambria" w:eastAsia="ＭＳ 明朝" w:hAnsi="Cambria" w:cs="Times New Roman"/>
        </w:rPr>
      </w:pPr>
      <w:r>
        <w:rPr>
          <w:rFonts w:ascii="Cambria" w:eastAsia="ＭＳ 明朝" w:hAnsi="Cambria" w:cs="Times New Roman"/>
          <w:noProof/>
          <w:lang w:eastAsia="en-US"/>
        </w:rPr>
        <w:drawing>
          <wp:inline distT="0" distB="0" distL="0" distR="0" wp14:anchorId="040F21EE" wp14:editId="29523A4A">
            <wp:extent cx="2906016" cy="1447800"/>
            <wp:effectExtent l="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06016" cy="1447800"/>
                    </a:xfrm>
                    <a:prstGeom prst="rect">
                      <a:avLst/>
                    </a:prstGeom>
                    <a:noFill/>
                    <a:ln>
                      <a:noFill/>
                    </a:ln>
                  </pic:spPr>
                </pic:pic>
              </a:graphicData>
            </a:graphic>
          </wp:inline>
        </w:drawing>
      </w:r>
      <w:r w:rsidRPr="00174187">
        <w:rPr>
          <w:rFonts w:ascii="Cambria" w:eastAsia="ＭＳ 明朝" w:hAnsi="Cambria" w:cs="Times New Roman"/>
          <w:noProof/>
          <w:lang w:eastAsia="en-US"/>
        </w:rPr>
        <w:drawing>
          <wp:inline distT="0" distB="0" distL="0" distR="0" wp14:anchorId="12A8A5F2" wp14:editId="3AF34DD5">
            <wp:extent cx="2806700" cy="145347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6880" cy="1453563"/>
                    </a:xfrm>
                    <a:prstGeom prst="rect">
                      <a:avLst/>
                    </a:prstGeom>
                    <a:noFill/>
                    <a:ln>
                      <a:noFill/>
                    </a:ln>
                  </pic:spPr>
                </pic:pic>
              </a:graphicData>
            </a:graphic>
          </wp:inline>
        </w:drawing>
      </w:r>
    </w:p>
    <w:p w14:paraId="257B4688" w14:textId="77777777" w:rsidR="00141BEA" w:rsidRDefault="00141BEA" w:rsidP="00CA7865">
      <w:pPr>
        <w:rPr>
          <w:rFonts w:ascii="Cambria" w:eastAsia="ＭＳ 明朝" w:hAnsi="Cambria" w:cs="Times New Roman"/>
        </w:rPr>
      </w:pPr>
    </w:p>
    <w:p w14:paraId="09AE6942" w14:textId="77777777" w:rsidR="00141BEA" w:rsidRDefault="00141BEA" w:rsidP="00CA7865">
      <w:pPr>
        <w:rPr>
          <w:rFonts w:ascii="Cambria" w:eastAsia="ＭＳ 明朝" w:hAnsi="Cambria" w:cs="Times New Roman"/>
        </w:rPr>
      </w:pPr>
    </w:p>
    <w:p w14:paraId="3C4485DD" w14:textId="5367E358" w:rsidR="0084678A" w:rsidRDefault="00F52E50" w:rsidP="00CA7865">
      <w:pPr>
        <w:rPr>
          <w:rFonts w:ascii="Cambria" w:eastAsia="ＭＳ 明朝" w:hAnsi="Cambria" w:cs="Times New Roman"/>
        </w:rPr>
      </w:pPr>
      <w:r>
        <w:rPr>
          <w:rFonts w:ascii="Cambria" w:eastAsia="ＭＳ 明朝" w:hAnsi="Cambria" w:cs="Times New Roman"/>
          <w:b/>
        </w:rPr>
        <w:br w:type="page"/>
      </w:r>
      <w:r w:rsidR="0016220E">
        <w:rPr>
          <w:rFonts w:ascii="Cambria" w:eastAsia="ＭＳ 明朝" w:hAnsi="Cambria" w:cs="Times New Roman"/>
          <w:b/>
        </w:rPr>
        <w:t>Fig 6</w:t>
      </w:r>
      <w:r w:rsidR="0084678A" w:rsidRPr="0084678A">
        <w:rPr>
          <w:rFonts w:ascii="Cambria" w:eastAsia="ＭＳ 明朝" w:hAnsi="Cambria" w:cs="Times New Roman"/>
          <w:b/>
        </w:rPr>
        <w:t>.</w:t>
      </w:r>
      <w:r w:rsidR="0016220E">
        <w:rPr>
          <w:rFonts w:ascii="Cambria" w:eastAsia="ＭＳ 明朝" w:hAnsi="Cambria" w:cs="Times New Roman"/>
        </w:rPr>
        <w:t xml:space="preserve"> </w:t>
      </w:r>
      <w:r w:rsidR="00141BEA">
        <w:rPr>
          <w:rFonts w:ascii="Cambria" w:eastAsia="ＭＳ 明朝" w:hAnsi="Cambria" w:cs="Times New Roman"/>
        </w:rPr>
        <w:t>Bioanalyzer trace</w:t>
      </w:r>
      <w:r w:rsidR="0016220E">
        <w:rPr>
          <w:rFonts w:ascii="Cambria" w:eastAsia="ＭＳ 明朝" w:hAnsi="Cambria" w:cs="Times New Roman"/>
        </w:rPr>
        <w:t>s</w:t>
      </w:r>
      <w:r w:rsidR="00141BEA">
        <w:rPr>
          <w:rFonts w:ascii="Cambria" w:eastAsia="ＭＳ 明朝" w:hAnsi="Cambria" w:cs="Times New Roman"/>
        </w:rPr>
        <w:t xml:space="preserve"> of </w:t>
      </w:r>
      <w:r w:rsidR="0016220E">
        <w:rPr>
          <w:rFonts w:ascii="Cambria" w:eastAsia="ＭＳ 明朝" w:hAnsi="Cambria" w:cs="Times New Roman"/>
        </w:rPr>
        <w:t>a sample</w:t>
      </w:r>
      <w:r w:rsidR="00141BEA">
        <w:rPr>
          <w:rFonts w:ascii="Cambria" w:eastAsia="ＭＳ 明朝" w:hAnsi="Cambria" w:cs="Times New Roman"/>
        </w:rPr>
        <w:t xml:space="preserve"> </w:t>
      </w:r>
      <w:r w:rsidR="0016220E">
        <w:rPr>
          <w:rFonts w:ascii="Cambria" w:eastAsia="ＭＳ 明朝" w:hAnsi="Cambria" w:cs="Times New Roman"/>
        </w:rPr>
        <w:t>as well as</w:t>
      </w:r>
      <w:r w:rsidR="00141BEA">
        <w:rPr>
          <w:rFonts w:ascii="Cambria" w:eastAsia="ＭＳ 明朝" w:hAnsi="Cambria" w:cs="Times New Roman"/>
        </w:rPr>
        <w:t xml:space="preserve"> a negative control (or NTC)</w:t>
      </w:r>
      <w:r w:rsidR="00FD783A">
        <w:rPr>
          <w:rFonts w:ascii="Cambria" w:eastAsia="ＭＳ 明朝" w:hAnsi="Cambria" w:cs="Times New Roman"/>
        </w:rPr>
        <w:t xml:space="preserve"> after second PCR</w:t>
      </w:r>
      <w:r w:rsidR="00141BEA">
        <w:rPr>
          <w:rFonts w:ascii="Cambria" w:eastAsia="ＭＳ 明朝" w:hAnsi="Cambria" w:cs="Times New Roman"/>
        </w:rPr>
        <w:t xml:space="preserve">. </w:t>
      </w:r>
      <w:r w:rsidR="0084678A">
        <w:rPr>
          <w:rFonts w:ascii="Cambria" w:eastAsia="ＭＳ 明朝" w:hAnsi="Cambria" w:cs="Times New Roman"/>
        </w:rPr>
        <w:t>The peaks at 15bp and 1,500bp are internal markers.</w:t>
      </w:r>
      <w:r w:rsidR="0016220E">
        <w:rPr>
          <w:rFonts w:ascii="Cambria" w:eastAsia="ＭＳ 明朝" w:hAnsi="Cambria" w:cs="Times New Roman"/>
        </w:rPr>
        <w:t xml:space="preserve"> The amplicon peak is shown in </w:t>
      </w:r>
      <w:r w:rsidRPr="0016220E">
        <w:rPr>
          <w:rFonts w:ascii="Cambria" w:eastAsia="ＭＳ 明朝" w:hAnsi="Cambria" w:cs="Times New Roman"/>
        </w:rPr>
        <w:t>A</w:t>
      </w:r>
      <w:r>
        <w:rPr>
          <w:rFonts w:ascii="Cambria" w:eastAsia="ＭＳ 明朝" w:hAnsi="Cambria" w:cs="Times New Roman"/>
        </w:rPr>
        <w:t>.</w:t>
      </w:r>
    </w:p>
    <w:p w14:paraId="33B4F15A" w14:textId="77777777" w:rsidR="0016220E" w:rsidRPr="00F07FA7" w:rsidRDefault="0016220E" w:rsidP="00CA7865">
      <w:pPr>
        <w:rPr>
          <w:rFonts w:ascii="Cambria" w:eastAsia="ＭＳ 明朝" w:hAnsi="Cambria" w:cs="Times New Roman"/>
          <w:b/>
        </w:rPr>
      </w:pPr>
    </w:p>
    <w:p w14:paraId="4C01AC98" w14:textId="15EF426A" w:rsidR="0016220E" w:rsidRPr="0016220E" w:rsidRDefault="0016220E" w:rsidP="0016220E">
      <w:pPr>
        <w:tabs>
          <w:tab w:val="center" w:pos="4680"/>
        </w:tabs>
        <w:rPr>
          <w:rFonts w:ascii="Cambria" w:eastAsia="ＭＳ 明朝" w:hAnsi="Cambria" w:cs="Times New Roman"/>
          <w:b/>
        </w:rPr>
      </w:pPr>
      <w:r w:rsidRPr="0016220E">
        <w:rPr>
          <w:rFonts w:ascii="Cambria" w:eastAsia="ＭＳ 明朝" w:hAnsi="Cambria" w:cs="Times New Roman"/>
          <w:b/>
        </w:rPr>
        <w:t>A</w:t>
      </w:r>
      <w:r>
        <w:rPr>
          <w:rFonts w:ascii="Cambria" w:eastAsia="ＭＳ 明朝" w:hAnsi="Cambria" w:cs="Times New Roman"/>
          <w:b/>
        </w:rPr>
        <w:tab/>
        <w:t>B</w:t>
      </w:r>
    </w:p>
    <w:p w14:paraId="5957CF1D" w14:textId="20783A9F" w:rsidR="00A760BC" w:rsidRDefault="0016220E" w:rsidP="003E58BE">
      <w:pPr>
        <w:tabs>
          <w:tab w:val="center" w:pos="4680"/>
        </w:tabs>
        <w:rPr>
          <w:rFonts w:ascii="Cambria" w:eastAsia="ＭＳ 明朝" w:hAnsi="Cambria" w:cs="Times New Roman"/>
        </w:rPr>
      </w:pPr>
      <w:r>
        <w:rPr>
          <w:rFonts w:ascii="Cambria" w:eastAsia="ＭＳ 明朝" w:hAnsi="Cambria" w:cs="Times New Roman"/>
          <w:noProof/>
          <w:lang w:eastAsia="en-US"/>
        </w:rPr>
        <w:drawing>
          <wp:inline distT="0" distB="0" distL="0" distR="0" wp14:anchorId="3D1815D1" wp14:editId="193A2B05">
            <wp:extent cx="2882900" cy="1561465"/>
            <wp:effectExtent l="0" t="0" r="1270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4069" cy="1562098"/>
                    </a:xfrm>
                    <a:prstGeom prst="rect">
                      <a:avLst/>
                    </a:prstGeom>
                    <a:noFill/>
                    <a:ln>
                      <a:noFill/>
                    </a:ln>
                  </pic:spPr>
                </pic:pic>
              </a:graphicData>
            </a:graphic>
          </wp:inline>
        </w:drawing>
      </w:r>
      <w:r w:rsidR="003E58BE">
        <w:rPr>
          <w:rFonts w:ascii="Cambria" w:eastAsia="ＭＳ 明朝" w:hAnsi="Cambria" w:cs="Times New Roman"/>
        </w:rPr>
        <w:tab/>
      </w:r>
      <w:r>
        <w:rPr>
          <w:rFonts w:ascii="Cambria" w:eastAsia="ＭＳ 明朝" w:hAnsi="Cambria" w:cs="Times New Roman"/>
          <w:noProof/>
          <w:lang w:eastAsia="en-US"/>
        </w:rPr>
        <w:drawing>
          <wp:inline distT="0" distB="0" distL="0" distR="0" wp14:anchorId="61D49864" wp14:editId="50106825">
            <wp:extent cx="2947653" cy="1651000"/>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48872" cy="1651683"/>
                    </a:xfrm>
                    <a:prstGeom prst="rect">
                      <a:avLst/>
                    </a:prstGeom>
                    <a:noFill/>
                    <a:ln>
                      <a:noFill/>
                    </a:ln>
                  </pic:spPr>
                </pic:pic>
              </a:graphicData>
            </a:graphic>
          </wp:inline>
        </w:drawing>
      </w:r>
    </w:p>
    <w:p w14:paraId="3F4BAFD9" w14:textId="774726F2" w:rsidR="00A760BC" w:rsidRDefault="00A760BC" w:rsidP="00CA7865">
      <w:pPr>
        <w:rPr>
          <w:rFonts w:ascii="Cambria" w:eastAsia="ＭＳ 明朝" w:hAnsi="Cambria" w:cs="Times New Roman"/>
        </w:rPr>
      </w:pPr>
    </w:p>
    <w:p w14:paraId="59D6DFEB" w14:textId="63C56E11" w:rsidR="00C45E5B" w:rsidRDefault="00C45E5B" w:rsidP="00CA7865">
      <w:pPr>
        <w:rPr>
          <w:rFonts w:ascii="Cambria" w:eastAsia="ＭＳ 明朝" w:hAnsi="Cambria" w:cs="Times New Roman"/>
        </w:rPr>
      </w:pPr>
    </w:p>
    <w:p w14:paraId="65087712" w14:textId="2AE69EFD" w:rsidR="00174187" w:rsidRDefault="00C45E5B" w:rsidP="00CA7865">
      <w:pPr>
        <w:rPr>
          <w:rFonts w:ascii="Cambria" w:eastAsia="ＭＳ 明朝" w:hAnsi="Cambria" w:cs="Times New Roman"/>
        </w:rPr>
      </w:pPr>
      <w:r>
        <w:rPr>
          <w:rFonts w:ascii="Cambria" w:eastAsia="ＭＳ 明朝" w:hAnsi="Cambria" w:cs="Times New Roman"/>
        </w:rPr>
        <w:t>9. Check the results of the chip to determine if the PCR product has the expected size. The PCR products of the barcoding stet (second PCR step) s</w:t>
      </w:r>
      <w:r w:rsidR="00741253">
        <w:rPr>
          <w:rFonts w:ascii="Cambria" w:eastAsia="ＭＳ 明朝" w:hAnsi="Cambria" w:cs="Times New Roman"/>
        </w:rPr>
        <w:t>hould exhibit a band shift of ~6</w:t>
      </w:r>
      <w:r>
        <w:rPr>
          <w:rFonts w:ascii="Cambria" w:eastAsia="ＭＳ 明朝" w:hAnsi="Cambria" w:cs="Times New Roman"/>
        </w:rPr>
        <w:t>9bp when compared to first step PCR products.</w:t>
      </w:r>
    </w:p>
    <w:p w14:paraId="5BE12ED2" w14:textId="77777777" w:rsidR="00161872" w:rsidRDefault="00161872" w:rsidP="00CA7865">
      <w:pPr>
        <w:rPr>
          <w:rFonts w:ascii="Cambria" w:eastAsia="ＭＳ 明朝" w:hAnsi="Cambria" w:cs="Times New Roman"/>
        </w:rPr>
      </w:pPr>
    </w:p>
    <w:p w14:paraId="7CAF66EE" w14:textId="3DFBFD6E" w:rsidR="00C45E5B" w:rsidRDefault="00F52E50" w:rsidP="00CA7865">
      <w:pPr>
        <w:rPr>
          <w:rFonts w:ascii="Cambria" w:eastAsia="ＭＳ 明朝" w:hAnsi="Cambria" w:cs="Times New Roman"/>
        </w:rPr>
      </w:pPr>
      <w:r>
        <w:rPr>
          <w:rFonts w:ascii="Cambria" w:eastAsia="ＭＳ 明朝" w:hAnsi="Cambria" w:cs="Times New Roman"/>
        </w:rPr>
        <w:t>10</w:t>
      </w:r>
      <w:r w:rsidR="00C45E5B">
        <w:rPr>
          <w:rFonts w:ascii="Cambria" w:eastAsia="ＭＳ 明朝" w:hAnsi="Cambria" w:cs="Times New Roman"/>
        </w:rPr>
        <w:t xml:space="preserve">. </w:t>
      </w:r>
      <w:r w:rsidR="00131B25">
        <w:rPr>
          <w:rFonts w:ascii="Cambria" w:eastAsia="ＭＳ 明朝" w:hAnsi="Cambria" w:cs="Times New Roman"/>
        </w:rPr>
        <w:t>Store the PCR products at -20ºC.</w:t>
      </w:r>
    </w:p>
    <w:p w14:paraId="472F18B8" w14:textId="77777777" w:rsidR="00396C39" w:rsidRDefault="00396C39" w:rsidP="00CA7865">
      <w:pPr>
        <w:rPr>
          <w:rFonts w:ascii="Cambria" w:eastAsia="ＭＳ 明朝" w:hAnsi="Cambria" w:cs="Times New Roman"/>
        </w:rPr>
      </w:pPr>
    </w:p>
    <w:p w14:paraId="74D42F65" w14:textId="164816F7" w:rsidR="00396C39" w:rsidRDefault="00A86729" w:rsidP="00CA7865">
      <w:pPr>
        <w:rPr>
          <w:rFonts w:ascii="Cambria" w:eastAsia="ＭＳ 明朝" w:hAnsi="Cambria" w:cs="Times New Roman"/>
        </w:rPr>
      </w:pPr>
      <w:r>
        <w:rPr>
          <w:rFonts w:ascii="Cambria" w:eastAsia="ＭＳ 明朝" w:hAnsi="Cambria" w:cs="Times New Roman"/>
          <w:b/>
        </w:rPr>
        <w:t xml:space="preserve">G. </w:t>
      </w:r>
      <w:r w:rsidRPr="00A86729">
        <w:rPr>
          <w:rFonts w:ascii="Cambria" w:eastAsia="ＭＳ 明朝" w:hAnsi="Cambria" w:cs="Times New Roman"/>
          <w:b/>
        </w:rPr>
        <w:t>DNA quantification</w:t>
      </w:r>
    </w:p>
    <w:p w14:paraId="66A5CF0E" w14:textId="77777777" w:rsidR="00A86729" w:rsidRDefault="00A86729" w:rsidP="00CA7865">
      <w:pPr>
        <w:rPr>
          <w:rFonts w:ascii="Cambria" w:eastAsia="ＭＳ 明朝" w:hAnsi="Cambria" w:cs="Times New Roman"/>
        </w:rPr>
      </w:pPr>
    </w:p>
    <w:p w14:paraId="02053750" w14:textId="491698FF" w:rsidR="00A86729" w:rsidRDefault="00F52E50" w:rsidP="00CA7865">
      <w:pPr>
        <w:rPr>
          <w:rFonts w:ascii="Cambria" w:eastAsia="ＭＳ 明朝" w:hAnsi="Cambria" w:cs="Times New Roman"/>
        </w:rPr>
      </w:pPr>
      <w:r>
        <w:rPr>
          <w:rFonts w:ascii="Cambria" w:eastAsia="ＭＳ 明朝" w:hAnsi="Cambria" w:cs="Times New Roman"/>
        </w:rPr>
        <w:t>11</w:t>
      </w:r>
      <w:r w:rsidR="00A86729">
        <w:rPr>
          <w:rFonts w:ascii="Cambria" w:eastAsia="ＭＳ 明朝" w:hAnsi="Cambria" w:cs="Times New Roman"/>
        </w:rPr>
        <w:t>. Quantify final PCR products with a Fluorometer using the picogreen assay.</w:t>
      </w:r>
    </w:p>
    <w:p w14:paraId="7FA76949" w14:textId="77777777" w:rsidR="00A86729" w:rsidRDefault="00A86729" w:rsidP="00CA7865">
      <w:pPr>
        <w:rPr>
          <w:rFonts w:ascii="Cambria" w:eastAsia="ＭＳ 明朝" w:hAnsi="Cambria" w:cs="Times New Roman"/>
        </w:rPr>
      </w:pPr>
    </w:p>
    <w:p w14:paraId="547F13D9" w14:textId="089FB1E7" w:rsidR="00A86729" w:rsidRDefault="00F52E50" w:rsidP="00CA7865">
      <w:pPr>
        <w:rPr>
          <w:rFonts w:ascii="Cambria" w:eastAsia="ＭＳ 明朝" w:hAnsi="Cambria" w:cs="Times New Roman"/>
        </w:rPr>
      </w:pPr>
      <w:r>
        <w:rPr>
          <w:rFonts w:ascii="Cambria" w:eastAsia="ＭＳ 明朝" w:hAnsi="Cambria" w:cs="Times New Roman"/>
        </w:rPr>
        <w:t>12</w:t>
      </w:r>
      <w:r w:rsidR="00A86729">
        <w:rPr>
          <w:rFonts w:ascii="Cambria" w:eastAsia="ＭＳ 明朝" w:hAnsi="Cambria" w:cs="Times New Roman"/>
        </w:rPr>
        <w:t>. Provide the IBEST GRC laboratory with the following:</w:t>
      </w:r>
    </w:p>
    <w:p w14:paraId="22FA135A" w14:textId="5EA531D1" w:rsidR="00A86729" w:rsidRDefault="00A86729" w:rsidP="00A86729">
      <w:pPr>
        <w:pStyle w:val="ListParagraph"/>
        <w:numPr>
          <w:ilvl w:val="0"/>
          <w:numId w:val="14"/>
        </w:numPr>
        <w:rPr>
          <w:rFonts w:ascii="Cambria" w:eastAsia="ＭＳ 明朝" w:hAnsi="Cambria" w:cs="Times New Roman"/>
        </w:rPr>
      </w:pPr>
      <w:r>
        <w:rPr>
          <w:rFonts w:ascii="Cambria" w:eastAsia="ＭＳ 明朝" w:hAnsi="Cambria" w:cs="Times New Roman"/>
        </w:rPr>
        <w:t>100 ng of each amplicon product</w:t>
      </w:r>
    </w:p>
    <w:p w14:paraId="15043D02" w14:textId="68152C5C" w:rsidR="00A86729" w:rsidRDefault="007830A8" w:rsidP="00A86729">
      <w:pPr>
        <w:pStyle w:val="ListParagraph"/>
        <w:numPr>
          <w:ilvl w:val="0"/>
          <w:numId w:val="14"/>
        </w:numPr>
        <w:rPr>
          <w:rFonts w:ascii="Cambria" w:eastAsia="ＭＳ 明朝" w:hAnsi="Cambria" w:cs="Times New Roman"/>
        </w:rPr>
      </w:pPr>
      <w:r>
        <w:rPr>
          <w:rFonts w:ascii="Cambria" w:eastAsia="ＭＳ 明朝" w:hAnsi="Cambria" w:cs="Times New Roman"/>
        </w:rPr>
        <w:t>A high-resolution gel image from first PCR,</w:t>
      </w:r>
      <w:r w:rsidR="00A86729">
        <w:rPr>
          <w:rFonts w:ascii="Cambria" w:eastAsia="ＭＳ 明朝" w:hAnsi="Cambria" w:cs="Times New Roman"/>
        </w:rPr>
        <w:t xml:space="preserve"> and Bioanalyzer traces from second PCR. Please do not provide us laser printed images. Digital </w:t>
      </w:r>
      <w:r>
        <w:rPr>
          <w:rFonts w:ascii="Cambria" w:eastAsia="ＭＳ 明朝" w:hAnsi="Cambria" w:cs="Times New Roman"/>
        </w:rPr>
        <w:t>Images are</w:t>
      </w:r>
      <w:r w:rsidR="00A86729">
        <w:rPr>
          <w:rFonts w:ascii="Cambria" w:eastAsia="ＭＳ 明朝" w:hAnsi="Cambria" w:cs="Times New Roman"/>
        </w:rPr>
        <w:t xml:space="preserve"> best.</w:t>
      </w:r>
    </w:p>
    <w:p w14:paraId="586B86B5" w14:textId="18B82A95" w:rsidR="00A86729" w:rsidRDefault="00077908" w:rsidP="00A86729">
      <w:pPr>
        <w:pStyle w:val="ListParagraph"/>
        <w:numPr>
          <w:ilvl w:val="0"/>
          <w:numId w:val="14"/>
        </w:numPr>
        <w:rPr>
          <w:rFonts w:ascii="Cambria" w:eastAsia="ＭＳ 明朝" w:hAnsi="Cambria" w:cs="Times New Roman"/>
        </w:rPr>
      </w:pPr>
      <w:r>
        <w:rPr>
          <w:rFonts w:ascii="Cambria" w:eastAsia="ＭＳ 明朝" w:hAnsi="Cambria" w:cs="Times New Roman"/>
        </w:rPr>
        <w:t>Please see and follow the sample submission instructions and fully complete the s</w:t>
      </w:r>
      <w:r w:rsidR="00A86729">
        <w:rPr>
          <w:rFonts w:ascii="Cambria" w:eastAsia="ＭＳ 明朝" w:hAnsi="Cambria" w:cs="Times New Roman"/>
        </w:rPr>
        <w:t>ample submission sheet</w:t>
      </w:r>
      <w:r>
        <w:rPr>
          <w:rFonts w:ascii="Cambria" w:eastAsia="ＭＳ 明朝" w:hAnsi="Cambria" w:cs="Times New Roman"/>
        </w:rPr>
        <w:t>, both</w:t>
      </w:r>
      <w:r w:rsidR="00A86729">
        <w:rPr>
          <w:rFonts w:ascii="Cambria" w:eastAsia="ＭＳ 明朝" w:hAnsi="Cambria" w:cs="Times New Roman"/>
        </w:rPr>
        <w:t xml:space="preserve"> </w:t>
      </w:r>
      <w:r w:rsidR="007830A8">
        <w:rPr>
          <w:rFonts w:ascii="Cambria" w:eastAsia="ＭＳ 明朝" w:hAnsi="Cambria" w:cs="Times New Roman"/>
        </w:rPr>
        <w:t>provided on our web site (</w:t>
      </w:r>
      <w:hyperlink r:id="rId28" w:history="1">
        <w:r w:rsidRPr="00D45AB7">
          <w:rPr>
            <w:rStyle w:val="Hyperlink"/>
            <w:rFonts w:ascii="Cambria" w:eastAsia="ＭＳ 明朝" w:hAnsi="Cambria" w:cs="Times New Roman"/>
          </w:rPr>
          <w:t>http://cores.ibest.uidaho.edu</w:t>
        </w:r>
      </w:hyperlink>
      <w:r w:rsidR="007830A8">
        <w:rPr>
          <w:rFonts w:ascii="Cambria" w:eastAsia="ＭＳ 明朝" w:hAnsi="Cambria" w:cs="Times New Roman"/>
        </w:rPr>
        <w:t>)</w:t>
      </w:r>
    </w:p>
    <w:p w14:paraId="33CFD472" w14:textId="77777777" w:rsidR="00077908" w:rsidRPr="00A86729" w:rsidRDefault="00077908" w:rsidP="00077908">
      <w:pPr>
        <w:pStyle w:val="ListParagraph"/>
        <w:rPr>
          <w:rFonts w:ascii="Cambria" w:eastAsia="ＭＳ 明朝" w:hAnsi="Cambria" w:cs="Times New Roman"/>
        </w:rPr>
      </w:pPr>
    </w:p>
    <w:p w14:paraId="1A175935" w14:textId="77777777" w:rsidR="00161872" w:rsidRDefault="00161872" w:rsidP="007E6792">
      <w:pPr>
        <w:rPr>
          <w:rFonts w:ascii="Cambria" w:eastAsia="ＭＳ 明朝" w:hAnsi="Cambria" w:cs="Times New Roman"/>
          <w:b/>
        </w:rPr>
      </w:pPr>
    </w:p>
    <w:p w14:paraId="2E562022" w14:textId="3DBEE4ED" w:rsidR="00501D69" w:rsidRPr="000D5A44" w:rsidRDefault="00501D69" w:rsidP="000D5A44">
      <w:pPr>
        <w:rPr>
          <w:rFonts w:ascii="Cambria" w:eastAsia="ＭＳ 明朝" w:hAnsi="Cambria" w:cs="Times New Roman"/>
        </w:rPr>
      </w:pPr>
    </w:p>
    <w:sectPr w:rsidR="00501D69" w:rsidRPr="000D5A44" w:rsidSect="00696891">
      <w:headerReference w:type="even" r:id="rId29"/>
      <w:headerReference w:type="default" r:id="rId30"/>
      <w:footerReference w:type="default" r:id="rId31"/>
      <w:headerReference w:type="first" r:id="rId32"/>
      <w:pgSz w:w="12240" w:h="15840"/>
      <w:pgMar w:top="720" w:right="1440" w:bottom="1008" w:left="1440" w:header="720" w:footer="43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942641" w14:textId="77777777" w:rsidR="00F7629F" w:rsidRDefault="00F7629F">
      <w:r>
        <w:separator/>
      </w:r>
    </w:p>
  </w:endnote>
  <w:endnote w:type="continuationSeparator" w:id="0">
    <w:p w14:paraId="16B84957" w14:textId="77777777" w:rsidR="00F7629F" w:rsidRDefault="00F76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sto MT">
    <w:panose1 w:val="020406030505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08"/>
      <w:gridCol w:w="1368"/>
    </w:tblGrid>
    <w:tr w:rsidR="00F7629F" w14:paraId="659EA79C" w14:textId="77777777">
      <w:tc>
        <w:tcPr>
          <w:tcW w:w="8208" w:type="dxa"/>
        </w:tcPr>
        <w:p w14:paraId="0EB3EBAC" w14:textId="2A142BE1" w:rsidR="00F7629F" w:rsidRPr="00696891" w:rsidRDefault="00F7629F" w:rsidP="00B42479">
          <w:pPr>
            <w:pStyle w:val="Footer"/>
            <w:rPr>
              <w:sz w:val="20"/>
              <w:szCs w:val="20"/>
            </w:rPr>
          </w:pPr>
          <w:r w:rsidRPr="00696891">
            <w:rPr>
              <w:sz w:val="20"/>
              <w:szCs w:val="20"/>
            </w:rPr>
            <w:t>G</w:t>
          </w:r>
          <w:r>
            <w:rPr>
              <w:sz w:val="20"/>
              <w:szCs w:val="20"/>
            </w:rPr>
            <w:t>RC_SOP_Dual-barcoded 2-step PCR protocol for ITS_02282013</w:t>
          </w:r>
          <w:r w:rsidRPr="00696891">
            <w:rPr>
              <w:sz w:val="20"/>
              <w:szCs w:val="20"/>
            </w:rPr>
            <w:t xml:space="preserve">.docx </w:t>
          </w:r>
        </w:p>
      </w:tc>
      <w:tc>
        <w:tcPr>
          <w:tcW w:w="1368" w:type="dxa"/>
        </w:tcPr>
        <w:p w14:paraId="2764EB2B" w14:textId="77777777" w:rsidR="00F7629F" w:rsidRPr="00696891" w:rsidRDefault="00F7629F" w:rsidP="00B42479">
          <w:pPr>
            <w:pStyle w:val="Footer"/>
            <w:jc w:val="right"/>
            <w:rPr>
              <w:sz w:val="20"/>
              <w:szCs w:val="20"/>
            </w:rPr>
          </w:pPr>
          <w:r w:rsidRPr="00696891">
            <w:rPr>
              <w:rFonts w:ascii="Times New Roman" w:hAnsi="Times New Roman"/>
              <w:sz w:val="20"/>
              <w:szCs w:val="20"/>
            </w:rPr>
            <w:t xml:space="preserve">Page </w:t>
          </w:r>
          <w:r w:rsidRPr="00696891">
            <w:rPr>
              <w:rFonts w:ascii="Times New Roman" w:hAnsi="Times New Roman"/>
              <w:sz w:val="20"/>
              <w:szCs w:val="20"/>
            </w:rPr>
            <w:fldChar w:fldCharType="begin"/>
          </w:r>
          <w:r w:rsidRPr="00696891">
            <w:rPr>
              <w:rFonts w:ascii="Times New Roman" w:hAnsi="Times New Roman"/>
              <w:sz w:val="20"/>
              <w:szCs w:val="20"/>
            </w:rPr>
            <w:instrText xml:space="preserve"> PAGE </w:instrText>
          </w:r>
          <w:r w:rsidRPr="00696891">
            <w:rPr>
              <w:rFonts w:ascii="Times New Roman" w:hAnsi="Times New Roman"/>
              <w:sz w:val="20"/>
              <w:szCs w:val="20"/>
            </w:rPr>
            <w:fldChar w:fldCharType="separate"/>
          </w:r>
          <w:r w:rsidR="00206BAF">
            <w:rPr>
              <w:rFonts w:ascii="Times New Roman" w:hAnsi="Times New Roman"/>
              <w:noProof/>
              <w:sz w:val="20"/>
              <w:szCs w:val="20"/>
            </w:rPr>
            <w:t>1</w:t>
          </w:r>
          <w:r w:rsidRPr="00696891">
            <w:rPr>
              <w:rFonts w:ascii="Times New Roman" w:hAnsi="Times New Roman"/>
              <w:sz w:val="20"/>
              <w:szCs w:val="20"/>
            </w:rPr>
            <w:fldChar w:fldCharType="end"/>
          </w:r>
          <w:r w:rsidRPr="00696891">
            <w:rPr>
              <w:rFonts w:ascii="Times New Roman" w:hAnsi="Times New Roman"/>
              <w:sz w:val="20"/>
              <w:szCs w:val="20"/>
            </w:rPr>
            <w:t xml:space="preserve"> of </w:t>
          </w:r>
          <w:r w:rsidRPr="00696891">
            <w:rPr>
              <w:rFonts w:ascii="Times New Roman" w:hAnsi="Times New Roman"/>
              <w:sz w:val="20"/>
              <w:szCs w:val="20"/>
            </w:rPr>
            <w:fldChar w:fldCharType="begin"/>
          </w:r>
          <w:r w:rsidRPr="00696891">
            <w:rPr>
              <w:rFonts w:ascii="Times New Roman" w:hAnsi="Times New Roman"/>
              <w:sz w:val="20"/>
              <w:szCs w:val="20"/>
            </w:rPr>
            <w:instrText xml:space="preserve"> NUMPAGES </w:instrText>
          </w:r>
          <w:r w:rsidRPr="00696891">
            <w:rPr>
              <w:rFonts w:ascii="Times New Roman" w:hAnsi="Times New Roman"/>
              <w:sz w:val="20"/>
              <w:szCs w:val="20"/>
            </w:rPr>
            <w:fldChar w:fldCharType="separate"/>
          </w:r>
          <w:r w:rsidR="00206BAF">
            <w:rPr>
              <w:rFonts w:ascii="Times New Roman" w:hAnsi="Times New Roman"/>
              <w:noProof/>
              <w:sz w:val="20"/>
              <w:szCs w:val="20"/>
            </w:rPr>
            <w:t>1</w:t>
          </w:r>
          <w:r w:rsidRPr="00696891">
            <w:rPr>
              <w:rFonts w:ascii="Times New Roman" w:hAnsi="Times New Roman"/>
              <w:sz w:val="20"/>
              <w:szCs w:val="20"/>
            </w:rPr>
            <w:fldChar w:fldCharType="end"/>
          </w:r>
        </w:p>
      </w:tc>
    </w:tr>
  </w:tbl>
  <w:p w14:paraId="12910775" w14:textId="77777777" w:rsidR="00F7629F" w:rsidRDefault="00F7629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107A9F" w14:textId="77777777" w:rsidR="00F7629F" w:rsidRDefault="00F7629F">
      <w:r>
        <w:separator/>
      </w:r>
    </w:p>
  </w:footnote>
  <w:footnote w:type="continuationSeparator" w:id="0">
    <w:p w14:paraId="784F4955" w14:textId="77777777" w:rsidR="00F7629F" w:rsidRDefault="00F762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86E8120" w14:textId="218831D3" w:rsidR="00F7629F" w:rsidRDefault="00206BAF">
    <w:pPr>
      <w:pStyle w:val="Header"/>
    </w:pPr>
    <w:r>
      <w:rPr>
        <w:noProof/>
        <w:lang w:eastAsia="en-US"/>
      </w:rPr>
      <w:pict w14:anchorId="526C586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68pt;height:156pt;z-index:-251655168;mso-wrap-edited:f;mso-position-horizontal:center;mso-position-horizontal-relative:margin;mso-position-vertical:center;mso-position-vertical-relative:margin" wrapcoords="11111 5088 380 5088 346 5607 726 6750 761 15057 588 16719 415 16823 346 17030 346 17342 20319 17342 20319 17030 20250 16823 20076 16719 19834 15057 19834 8411 21392 6853 21392 5088 11838 5088 11111 5088"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55ADFC5" w14:textId="285C83C8" w:rsidR="00F7629F" w:rsidRDefault="00206BAF">
    <w:pPr>
      <w:pStyle w:val="Header"/>
    </w:pPr>
    <w:r>
      <w:rPr>
        <w:noProof/>
        <w:lang w:eastAsia="en-US"/>
      </w:rPr>
      <w:pict w14:anchorId="5A16663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68pt;height:156pt;z-index:-251657216;mso-wrap-edited:f;mso-position-horizontal:center;mso-position-horizontal-relative:margin;mso-position-vertical:center;mso-position-vertical-relative:margin" wrapcoords="11111 5088 380 5088 346 5607 726 6750 761 15057 588 16719 415 16823 346 17030 346 17342 20319 17342 20319 17030 20250 16823 20076 16719 19834 15057 19834 8411 21392 6853 21392 5088 11838 5088 11111 5088" fillcolor="silver" stroked="f">
          <v:textpath style="font-family:&quot;Cambria&quot;;font-size:1pt" string="DRAFT"/>
          <w10:wrap anchorx="margin" anchory="margin"/>
        </v:shape>
      </w:pict>
    </w:r>
    <w:r w:rsidR="00F7629F">
      <w:tab/>
    </w:r>
    <w:r w:rsidR="00F7629F">
      <w:tab/>
    </w:r>
    <w:r w:rsidR="00F7629F">
      <w:tab/>
    </w:r>
    <w:r w:rsidR="00F7629F">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056859A" w14:textId="684AF755" w:rsidR="00F7629F" w:rsidRDefault="00206BAF">
    <w:pPr>
      <w:pStyle w:val="Header"/>
    </w:pPr>
    <w:r>
      <w:rPr>
        <w:noProof/>
        <w:lang w:eastAsia="en-US"/>
      </w:rPr>
      <w:pict w14:anchorId="6E91BEA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68pt;height:156pt;z-index:-251653120;mso-wrap-edited:f;mso-position-horizontal:center;mso-position-horizontal-relative:margin;mso-position-vertical:center;mso-position-vertical-relative:margin" wrapcoords="11111 5088 380 5088 346 5607 726 6750 761 15057 588 16719 415 16823 346 17030 346 17342 20319 17342 20319 17030 20250 16823 20076 16719 19834 15057 19834 8411 21392 6853 21392 5088 11838 5088 11111 5088"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D612FD5E"/>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
    <w:nsid w:val="007252F3"/>
    <w:multiLevelType w:val="hybridMultilevel"/>
    <w:tmpl w:val="1720A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D5DC0"/>
    <w:multiLevelType w:val="hybridMultilevel"/>
    <w:tmpl w:val="CD747E32"/>
    <w:lvl w:ilvl="0" w:tplc="752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AA35B1"/>
    <w:multiLevelType w:val="hybridMultilevel"/>
    <w:tmpl w:val="D270982A"/>
    <w:lvl w:ilvl="0" w:tplc="3ADC89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F3275A8"/>
    <w:multiLevelType w:val="hybridMultilevel"/>
    <w:tmpl w:val="00145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9E7BED"/>
    <w:multiLevelType w:val="hybridMultilevel"/>
    <w:tmpl w:val="26863928"/>
    <w:lvl w:ilvl="0" w:tplc="1520BE5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1258CC"/>
    <w:multiLevelType w:val="hybridMultilevel"/>
    <w:tmpl w:val="8214C000"/>
    <w:lvl w:ilvl="0" w:tplc="752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E251E3"/>
    <w:multiLevelType w:val="hybridMultilevel"/>
    <w:tmpl w:val="460C9DB0"/>
    <w:lvl w:ilvl="0" w:tplc="752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B21A92"/>
    <w:multiLevelType w:val="multilevel"/>
    <w:tmpl w:val="D270982A"/>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nsid w:val="5AB10B58"/>
    <w:multiLevelType w:val="hybridMultilevel"/>
    <w:tmpl w:val="329601EA"/>
    <w:lvl w:ilvl="0" w:tplc="B582C1E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8367C7"/>
    <w:multiLevelType w:val="hybridMultilevel"/>
    <w:tmpl w:val="B4D85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6C302D"/>
    <w:multiLevelType w:val="hybridMultilevel"/>
    <w:tmpl w:val="2536E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0E647A"/>
    <w:multiLevelType w:val="hybridMultilevel"/>
    <w:tmpl w:val="B93CC8B8"/>
    <w:lvl w:ilvl="0" w:tplc="36D037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FF5044"/>
    <w:multiLevelType w:val="hybridMultilevel"/>
    <w:tmpl w:val="7C5E9CC0"/>
    <w:lvl w:ilvl="0" w:tplc="B2D08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5"/>
  </w:num>
  <w:num w:numId="4">
    <w:abstractNumId w:val="2"/>
  </w:num>
  <w:num w:numId="5">
    <w:abstractNumId w:val="7"/>
  </w:num>
  <w:num w:numId="6">
    <w:abstractNumId w:val="6"/>
  </w:num>
  <w:num w:numId="7">
    <w:abstractNumId w:val="13"/>
  </w:num>
  <w:num w:numId="8">
    <w:abstractNumId w:val="12"/>
  </w:num>
  <w:num w:numId="9">
    <w:abstractNumId w:val="0"/>
  </w:num>
  <w:num w:numId="10">
    <w:abstractNumId w:val="10"/>
  </w:num>
  <w:num w:numId="11">
    <w:abstractNumId w:val="3"/>
  </w:num>
  <w:num w:numId="12">
    <w:abstractNumId w:val="8"/>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C61"/>
    <w:rsid w:val="00005906"/>
    <w:rsid w:val="00006522"/>
    <w:rsid w:val="00020D24"/>
    <w:rsid w:val="0003027E"/>
    <w:rsid w:val="00040C11"/>
    <w:rsid w:val="000472A6"/>
    <w:rsid w:val="0005272A"/>
    <w:rsid w:val="00077908"/>
    <w:rsid w:val="000A3869"/>
    <w:rsid w:val="000B6913"/>
    <w:rsid w:val="000C739C"/>
    <w:rsid w:val="000D33A0"/>
    <w:rsid w:val="000D5A44"/>
    <w:rsid w:val="000D6C4B"/>
    <w:rsid w:val="000E47A3"/>
    <w:rsid w:val="000F0652"/>
    <w:rsid w:val="000F389E"/>
    <w:rsid w:val="000F58AD"/>
    <w:rsid w:val="00102983"/>
    <w:rsid w:val="0010494F"/>
    <w:rsid w:val="0011010D"/>
    <w:rsid w:val="00120AAA"/>
    <w:rsid w:val="001253A1"/>
    <w:rsid w:val="0013143F"/>
    <w:rsid w:val="00131B25"/>
    <w:rsid w:val="00141BEA"/>
    <w:rsid w:val="00152C5E"/>
    <w:rsid w:val="00161872"/>
    <w:rsid w:val="0016220E"/>
    <w:rsid w:val="001653C9"/>
    <w:rsid w:val="00170CD2"/>
    <w:rsid w:val="00174187"/>
    <w:rsid w:val="00176627"/>
    <w:rsid w:val="00182470"/>
    <w:rsid w:val="00185B6A"/>
    <w:rsid w:val="00193902"/>
    <w:rsid w:val="00195417"/>
    <w:rsid w:val="001954A9"/>
    <w:rsid w:val="001A020D"/>
    <w:rsid w:val="001A7A3A"/>
    <w:rsid w:val="001B0D5E"/>
    <w:rsid w:val="001C32BB"/>
    <w:rsid w:val="001D22B6"/>
    <w:rsid w:val="001D6999"/>
    <w:rsid w:val="001E319D"/>
    <w:rsid w:val="001F308E"/>
    <w:rsid w:val="001F7E36"/>
    <w:rsid w:val="00204905"/>
    <w:rsid w:val="00206BAF"/>
    <w:rsid w:val="00212185"/>
    <w:rsid w:val="00213B44"/>
    <w:rsid w:val="00223584"/>
    <w:rsid w:val="00233B1E"/>
    <w:rsid w:val="002351CB"/>
    <w:rsid w:val="00250C94"/>
    <w:rsid w:val="002557CC"/>
    <w:rsid w:val="00265E0C"/>
    <w:rsid w:val="002712E1"/>
    <w:rsid w:val="00271ABE"/>
    <w:rsid w:val="0027429D"/>
    <w:rsid w:val="00274E5A"/>
    <w:rsid w:val="00276E7A"/>
    <w:rsid w:val="002831AF"/>
    <w:rsid w:val="002A4F0D"/>
    <w:rsid w:val="002D6522"/>
    <w:rsid w:val="00310D45"/>
    <w:rsid w:val="00312138"/>
    <w:rsid w:val="00336056"/>
    <w:rsid w:val="0034719C"/>
    <w:rsid w:val="00347C3A"/>
    <w:rsid w:val="00363020"/>
    <w:rsid w:val="00377481"/>
    <w:rsid w:val="00390009"/>
    <w:rsid w:val="00396C39"/>
    <w:rsid w:val="003A4988"/>
    <w:rsid w:val="003A7AEB"/>
    <w:rsid w:val="003C5394"/>
    <w:rsid w:val="003D2736"/>
    <w:rsid w:val="003E4582"/>
    <w:rsid w:val="003E58BE"/>
    <w:rsid w:val="003E6EFF"/>
    <w:rsid w:val="00410329"/>
    <w:rsid w:val="004105FA"/>
    <w:rsid w:val="004119BE"/>
    <w:rsid w:val="0041786D"/>
    <w:rsid w:val="004241FF"/>
    <w:rsid w:val="004438D7"/>
    <w:rsid w:val="004772FC"/>
    <w:rsid w:val="0048410C"/>
    <w:rsid w:val="004B3F59"/>
    <w:rsid w:val="004D068E"/>
    <w:rsid w:val="004D0FDF"/>
    <w:rsid w:val="004E08C4"/>
    <w:rsid w:val="004E6EC2"/>
    <w:rsid w:val="004E74EF"/>
    <w:rsid w:val="004F73D5"/>
    <w:rsid w:val="00501D69"/>
    <w:rsid w:val="00517A2A"/>
    <w:rsid w:val="005232E4"/>
    <w:rsid w:val="00531F19"/>
    <w:rsid w:val="005422AE"/>
    <w:rsid w:val="00565249"/>
    <w:rsid w:val="00583A92"/>
    <w:rsid w:val="00585991"/>
    <w:rsid w:val="005942EA"/>
    <w:rsid w:val="005A1AC6"/>
    <w:rsid w:val="005B2BB4"/>
    <w:rsid w:val="005D1846"/>
    <w:rsid w:val="005E76DE"/>
    <w:rsid w:val="006024C0"/>
    <w:rsid w:val="00604B72"/>
    <w:rsid w:val="00606616"/>
    <w:rsid w:val="0062498A"/>
    <w:rsid w:val="00667CCC"/>
    <w:rsid w:val="0069098A"/>
    <w:rsid w:val="00696891"/>
    <w:rsid w:val="006A2C83"/>
    <w:rsid w:val="006A65CF"/>
    <w:rsid w:val="006B28FD"/>
    <w:rsid w:val="006D1902"/>
    <w:rsid w:val="006D7096"/>
    <w:rsid w:val="006E3BC4"/>
    <w:rsid w:val="00720E71"/>
    <w:rsid w:val="00741253"/>
    <w:rsid w:val="007434CD"/>
    <w:rsid w:val="00775837"/>
    <w:rsid w:val="0077633C"/>
    <w:rsid w:val="007830A8"/>
    <w:rsid w:val="0078616A"/>
    <w:rsid w:val="00791F67"/>
    <w:rsid w:val="007B099C"/>
    <w:rsid w:val="007C2E3D"/>
    <w:rsid w:val="007D4345"/>
    <w:rsid w:val="007E2B47"/>
    <w:rsid w:val="007E4873"/>
    <w:rsid w:val="007E6792"/>
    <w:rsid w:val="00813642"/>
    <w:rsid w:val="0082262F"/>
    <w:rsid w:val="00823EF2"/>
    <w:rsid w:val="0084678A"/>
    <w:rsid w:val="00864CA5"/>
    <w:rsid w:val="008844D2"/>
    <w:rsid w:val="00884DE4"/>
    <w:rsid w:val="008A6D27"/>
    <w:rsid w:val="008C5D57"/>
    <w:rsid w:val="008D4039"/>
    <w:rsid w:val="008E4C61"/>
    <w:rsid w:val="008F334B"/>
    <w:rsid w:val="00907375"/>
    <w:rsid w:val="009129F3"/>
    <w:rsid w:val="009142BD"/>
    <w:rsid w:val="00946396"/>
    <w:rsid w:val="009566E1"/>
    <w:rsid w:val="0096373B"/>
    <w:rsid w:val="00965801"/>
    <w:rsid w:val="009762E3"/>
    <w:rsid w:val="0098418D"/>
    <w:rsid w:val="00991CEA"/>
    <w:rsid w:val="009B4E05"/>
    <w:rsid w:val="009F099C"/>
    <w:rsid w:val="00A04639"/>
    <w:rsid w:val="00A0532A"/>
    <w:rsid w:val="00A103CD"/>
    <w:rsid w:val="00A476E7"/>
    <w:rsid w:val="00A61B9C"/>
    <w:rsid w:val="00A61EF5"/>
    <w:rsid w:val="00A67547"/>
    <w:rsid w:val="00A67901"/>
    <w:rsid w:val="00A70672"/>
    <w:rsid w:val="00A7534A"/>
    <w:rsid w:val="00A760BC"/>
    <w:rsid w:val="00A77D9A"/>
    <w:rsid w:val="00A86729"/>
    <w:rsid w:val="00AB3FB5"/>
    <w:rsid w:val="00AB74C9"/>
    <w:rsid w:val="00AC2E9D"/>
    <w:rsid w:val="00AC5924"/>
    <w:rsid w:val="00AD1283"/>
    <w:rsid w:val="00AE3660"/>
    <w:rsid w:val="00B1049F"/>
    <w:rsid w:val="00B171DA"/>
    <w:rsid w:val="00B20801"/>
    <w:rsid w:val="00B300DA"/>
    <w:rsid w:val="00B321D6"/>
    <w:rsid w:val="00B4050C"/>
    <w:rsid w:val="00B42479"/>
    <w:rsid w:val="00B51CB5"/>
    <w:rsid w:val="00B66F36"/>
    <w:rsid w:val="00B71DCB"/>
    <w:rsid w:val="00B73002"/>
    <w:rsid w:val="00B8132D"/>
    <w:rsid w:val="00BA4449"/>
    <w:rsid w:val="00BD0EF1"/>
    <w:rsid w:val="00BF21AF"/>
    <w:rsid w:val="00C40D06"/>
    <w:rsid w:val="00C453D1"/>
    <w:rsid w:val="00C45E5B"/>
    <w:rsid w:val="00C61B36"/>
    <w:rsid w:val="00C86E60"/>
    <w:rsid w:val="00C96DF2"/>
    <w:rsid w:val="00CA7865"/>
    <w:rsid w:val="00CB08C1"/>
    <w:rsid w:val="00CC214A"/>
    <w:rsid w:val="00D40B7A"/>
    <w:rsid w:val="00D50C01"/>
    <w:rsid w:val="00D566E6"/>
    <w:rsid w:val="00D715CC"/>
    <w:rsid w:val="00D74ABD"/>
    <w:rsid w:val="00D77523"/>
    <w:rsid w:val="00D85EBE"/>
    <w:rsid w:val="00DA7571"/>
    <w:rsid w:val="00DD0159"/>
    <w:rsid w:val="00DE2581"/>
    <w:rsid w:val="00DE3206"/>
    <w:rsid w:val="00E05F2C"/>
    <w:rsid w:val="00E17381"/>
    <w:rsid w:val="00E26AA1"/>
    <w:rsid w:val="00E320BF"/>
    <w:rsid w:val="00E33B0C"/>
    <w:rsid w:val="00E72BEE"/>
    <w:rsid w:val="00E92E82"/>
    <w:rsid w:val="00EB111C"/>
    <w:rsid w:val="00EB6F1A"/>
    <w:rsid w:val="00EB773B"/>
    <w:rsid w:val="00ED4465"/>
    <w:rsid w:val="00EE5F99"/>
    <w:rsid w:val="00EE7AA6"/>
    <w:rsid w:val="00EF74E2"/>
    <w:rsid w:val="00F07FA7"/>
    <w:rsid w:val="00F52544"/>
    <w:rsid w:val="00F52E50"/>
    <w:rsid w:val="00F732B5"/>
    <w:rsid w:val="00F7629F"/>
    <w:rsid w:val="00F94F73"/>
    <w:rsid w:val="00FA2F42"/>
    <w:rsid w:val="00FB0E6C"/>
    <w:rsid w:val="00FB605A"/>
    <w:rsid w:val="00FD60A6"/>
    <w:rsid w:val="00FD783A"/>
    <w:rsid w:val="00FE3FA0"/>
    <w:rsid w:val="00FE4B79"/>
    <w:rsid w:val="00FF4406"/>
    <w:rsid w:val="00FF5AE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09747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Normal" w:qFormat="1"/>
    <w:lsdException w:name="Normal (Web)" w:uiPriority="99"/>
    <w:lsdException w:name="List Paragraph" w:qFormat="1"/>
  </w:latentStyles>
  <w:style w:type="paragraph" w:default="1" w:styleId="Normal">
    <w:name w:val="Normal"/>
    <w:qFormat/>
    <w:rsid w:val="003A7A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7CCC"/>
    <w:pPr>
      <w:tabs>
        <w:tab w:val="center" w:pos="4320"/>
        <w:tab w:val="right" w:pos="8640"/>
      </w:tabs>
    </w:pPr>
  </w:style>
  <w:style w:type="character" w:customStyle="1" w:styleId="HeaderChar">
    <w:name w:val="Header Char"/>
    <w:basedOn w:val="DefaultParagraphFont"/>
    <w:link w:val="Header"/>
    <w:uiPriority w:val="99"/>
    <w:rsid w:val="00667CCC"/>
  </w:style>
  <w:style w:type="paragraph" w:styleId="Footer">
    <w:name w:val="footer"/>
    <w:basedOn w:val="Normal"/>
    <w:link w:val="FooterChar"/>
    <w:uiPriority w:val="99"/>
    <w:unhideWhenUsed/>
    <w:rsid w:val="00667CCC"/>
    <w:pPr>
      <w:tabs>
        <w:tab w:val="center" w:pos="4320"/>
        <w:tab w:val="right" w:pos="8640"/>
      </w:tabs>
    </w:pPr>
  </w:style>
  <w:style w:type="character" w:customStyle="1" w:styleId="FooterChar">
    <w:name w:val="Footer Char"/>
    <w:basedOn w:val="DefaultParagraphFont"/>
    <w:link w:val="Footer"/>
    <w:uiPriority w:val="99"/>
    <w:rsid w:val="00667CCC"/>
  </w:style>
  <w:style w:type="character" w:customStyle="1" w:styleId="prod-detail-part-value">
    <w:name w:val="prod-detail-part-value"/>
    <w:basedOn w:val="DefaultParagraphFont"/>
    <w:rsid w:val="008C5D57"/>
  </w:style>
  <w:style w:type="paragraph" w:styleId="ListParagraph">
    <w:name w:val="List Paragraph"/>
    <w:basedOn w:val="Normal"/>
    <w:qFormat/>
    <w:rsid w:val="003D2736"/>
    <w:pPr>
      <w:ind w:left="720"/>
      <w:contextualSpacing/>
    </w:pPr>
  </w:style>
  <w:style w:type="paragraph" w:styleId="BalloonText">
    <w:name w:val="Balloon Text"/>
    <w:basedOn w:val="Normal"/>
    <w:link w:val="BalloonTextChar"/>
    <w:rsid w:val="00EE7AA6"/>
    <w:rPr>
      <w:rFonts w:ascii="Lucida Grande" w:hAnsi="Lucida Grande"/>
      <w:sz w:val="18"/>
      <w:szCs w:val="18"/>
    </w:rPr>
  </w:style>
  <w:style w:type="character" w:customStyle="1" w:styleId="BalloonTextChar">
    <w:name w:val="Balloon Text Char"/>
    <w:basedOn w:val="DefaultParagraphFont"/>
    <w:link w:val="BalloonText"/>
    <w:rsid w:val="00EE7AA6"/>
    <w:rPr>
      <w:rFonts w:ascii="Lucida Grande" w:hAnsi="Lucida Grande"/>
      <w:sz w:val="18"/>
      <w:szCs w:val="18"/>
    </w:rPr>
  </w:style>
  <w:style w:type="table" w:styleId="TableGrid">
    <w:name w:val="Table Grid"/>
    <w:basedOn w:val="TableNormal"/>
    <w:rsid w:val="00EE7A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B42479"/>
  </w:style>
  <w:style w:type="paragraph" w:styleId="FootnoteText">
    <w:name w:val="footnote text"/>
    <w:basedOn w:val="Normal"/>
    <w:link w:val="FootnoteTextChar"/>
    <w:rsid w:val="00FB0E6C"/>
  </w:style>
  <w:style w:type="character" w:customStyle="1" w:styleId="FootnoteTextChar">
    <w:name w:val="Footnote Text Char"/>
    <w:basedOn w:val="DefaultParagraphFont"/>
    <w:link w:val="FootnoteText"/>
    <w:rsid w:val="00FB0E6C"/>
  </w:style>
  <w:style w:type="character" w:styleId="FootnoteReference">
    <w:name w:val="footnote reference"/>
    <w:basedOn w:val="DefaultParagraphFont"/>
    <w:rsid w:val="00FB0E6C"/>
    <w:rPr>
      <w:vertAlign w:val="superscript"/>
    </w:rPr>
  </w:style>
  <w:style w:type="character" w:styleId="Hyperlink">
    <w:name w:val="Hyperlink"/>
    <w:basedOn w:val="DefaultParagraphFont"/>
    <w:rsid w:val="00077908"/>
    <w:rPr>
      <w:color w:val="0000FF" w:themeColor="hyperlink"/>
      <w:u w:val="single"/>
    </w:rPr>
  </w:style>
  <w:style w:type="paragraph" w:styleId="NormalWeb">
    <w:name w:val="Normal (Web)"/>
    <w:basedOn w:val="Normal"/>
    <w:uiPriority w:val="99"/>
    <w:unhideWhenUsed/>
    <w:rsid w:val="00FE4B79"/>
    <w:pPr>
      <w:spacing w:before="100" w:beforeAutospacing="1" w:after="100" w:afterAutospacing="1"/>
    </w:pPr>
    <w:rPr>
      <w:rFonts w:ascii="Times" w:hAnsi="Times" w:cs="Times New Roman"/>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Normal" w:qFormat="1"/>
    <w:lsdException w:name="Normal (Web)" w:uiPriority="99"/>
    <w:lsdException w:name="List Paragraph" w:qFormat="1"/>
  </w:latentStyles>
  <w:style w:type="paragraph" w:default="1" w:styleId="Normal">
    <w:name w:val="Normal"/>
    <w:qFormat/>
    <w:rsid w:val="003A7A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7CCC"/>
    <w:pPr>
      <w:tabs>
        <w:tab w:val="center" w:pos="4320"/>
        <w:tab w:val="right" w:pos="8640"/>
      </w:tabs>
    </w:pPr>
  </w:style>
  <w:style w:type="character" w:customStyle="1" w:styleId="HeaderChar">
    <w:name w:val="Header Char"/>
    <w:basedOn w:val="DefaultParagraphFont"/>
    <w:link w:val="Header"/>
    <w:uiPriority w:val="99"/>
    <w:rsid w:val="00667CCC"/>
  </w:style>
  <w:style w:type="paragraph" w:styleId="Footer">
    <w:name w:val="footer"/>
    <w:basedOn w:val="Normal"/>
    <w:link w:val="FooterChar"/>
    <w:uiPriority w:val="99"/>
    <w:unhideWhenUsed/>
    <w:rsid w:val="00667CCC"/>
    <w:pPr>
      <w:tabs>
        <w:tab w:val="center" w:pos="4320"/>
        <w:tab w:val="right" w:pos="8640"/>
      </w:tabs>
    </w:pPr>
  </w:style>
  <w:style w:type="character" w:customStyle="1" w:styleId="FooterChar">
    <w:name w:val="Footer Char"/>
    <w:basedOn w:val="DefaultParagraphFont"/>
    <w:link w:val="Footer"/>
    <w:uiPriority w:val="99"/>
    <w:rsid w:val="00667CCC"/>
  </w:style>
  <w:style w:type="character" w:customStyle="1" w:styleId="prod-detail-part-value">
    <w:name w:val="prod-detail-part-value"/>
    <w:basedOn w:val="DefaultParagraphFont"/>
    <w:rsid w:val="008C5D57"/>
  </w:style>
  <w:style w:type="paragraph" w:styleId="ListParagraph">
    <w:name w:val="List Paragraph"/>
    <w:basedOn w:val="Normal"/>
    <w:qFormat/>
    <w:rsid w:val="003D2736"/>
    <w:pPr>
      <w:ind w:left="720"/>
      <w:contextualSpacing/>
    </w:pPr>
  </w:style>
  <w:style w:type="paragraph" w:styleId="BalloonText">
    <w:name w:val="Balloon Text"/>
    <w:basedOn w:val="Normal"/>
    <w:link w:val="BalloonTextChar"/>
    <w:rsid w:val="00EE7AA6"/>
    <w:rPr>
      <w:rFonts w:ascii="Lucida Grande" w:hAnsi="Lucida Grande"/>
      <w:sz w:val="18"/>
      <w:szCs w:val="18"/>
    </w:rPr>
  </w:style>
  <w:style w:type="character" w:customStyle="1" w:styleId="BalloonTextChar">
    <w:name w:val="Balloon Text Char"/>
    <w:basedOn w:val="DefaultParagraphFont"/>
    <w:link w:val="BalloonText"/>
    <w:rsid w:val="00EE7AA6"/>
    <w:rPr>
      <w:rFonts w:ascii="Lucida Grande" w:hAnsi="Lucida Grande"/>
      <w:sz w:val="18"/>
      <w:szCs w:val="18"/>
    </w:rPr>
  </w:style>
  <w:style w:type="table" w:styleId="TableGrid">
    <w:name w:val="Table Grid"/>
    <w:basedOn w:val="TableNormal"/>
    <w:rsid w:val="00EE7A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B42479"/>
  </w:style>
  <w:style w:type="paragraph" w:styleId="FootnoteText">
    <w:name w:val="footnote text"/>
    <w:basedOn w:val="Normal"/>
    <w:link w:val="FootnoteTextChar"/>
    <w:rsid w:val="00FB0E6C"/>
  </w:style>
  <w:style w:type="character" w:customStyle="1" w:styleId="FootnoteTextChar">
    <w:name w:val="Footnote Text Char"/>
    <w:basedOn w:val="DefaultParagraphFont"/>
    <w:link w:val="FootnoteText"/>
    <w:rsid w:val="00FB0E6C"/>
  </w:style>
  <w:style w:type="character" w:styleId="FootnoteReference">
    <w:name w:val="footnote reference"/>
    <w:basedOn w:val="DefaultParagraphFont"/>
    <w:rsid w:val="00FB0E6C"/>
    <w:rPr>
      <w:vertAlign w:val="superscript"/>
    </w:rPr>
  </w:style>
  <w:style w:type="character" w:styleId="Hyperlink">
    <w:name w:val="Hyperlink"/>
    <w:basedOn w:val="DefaultParagraphFont"/>
    <w:rsid w:val="00077908"/>
    <w:rPr>
      <w:color w:val="0000FF" w:themeColor="hyperlink"/>
      <w:u w:val="single"/>
    </w:rPr>
  </w:style>
  <w:style w:type="paragraph" w:styleId="NormalWeb">
    <w:name w:val="Normal (Web)"/>
    <w:basedOn w:val="Normal"/>
    <w:uiPriority w:val="99"/>
    <w:unhideWhenUsed/>
    <w:rsid w:val="00FE4B79"/>
    <w:pPr>
      <w:spacing w:before="100" w:beforeAutospacing="1" w:after="100" w:afterAutospacing="1"/>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1937">
      <w:bodyDiv w:val="1"/>
      <w:marLeft w:val="0"/>
      <w:marRight w:val="0"/>
      <w:marTop w:val="0"/>
      <w:marBottom w:val="0"/>
      <w:divBdr>
        <w:top w:val="none" w:sz="0" w:space="0" w:color="auto"/>
        <w:left w:val="none" w:sz="0" w:space="0" w:color="auto"/>
        <w:bottom w:val="none" w:sz="0" w:space="0" w:color="auto"/>
        <w:right w:val="none" w:sz="0" w:space="0" w:color="auto"/>
      </w:divBdr>
    </w:div>
    <w:div w:id="172451511">
      <w:bodyDiv w:val="1"/>
      <w:marLeft w:val="0"/>
      <w:marRight w:val="0"/>
      <w:marTop w:val="0"/>
      <w:marBottom w:val="0"/>
      <w:divBdr>
        <w:top w:val="none" w:sz="0" w:space="0" w:color="auto"/>
        <w:left w:val="none" w:sz="0" w:space="0" w:color="auto"/>
        <w:bottom w:val="none" w:sz="0" w:space="0" w:color="auto"/>
        <w:right w:val="none" w:sz="0" w:space="0" w:color="auto"/>
      </w:divBdr>
    </w:div>
    <w:div w:id="194081587">
      <w:bodyDiv w:val="1"/>
      <w:marLeft w:val="0"/>
      <w:marRight w:val="0"/>
      <w:marTop w:val="0"/>
      <w:marBottom w:val="0"/>
      <w:divBdr>
        <w:top w:val="none" w:sz="0" w:space="0" w:color="auto"/>
        <w:left w:val="none" w:sz="0" w:space="0" w:color="auto"/>
        <w:bottom w:val="none" w:sz="0" w:space="0" w:color="auto"/>
        <w:right w:val="none" w:sz="0" w:space="0" w:color="auto"/>
      </w:divBdr>
    </w:div>
    <w:div w:id="554858021">
      <w:bodyDiv w:val="1"/>
      <w:marLeft w:val="0"/>
      <w:marRight w:val="0"/>
      <w:marTop w:val="0"/>
      <w:marBottom w:val="0"/>
      <w:divBdr>
        <w:top w:val="none" w:sz="0" w:space="0" w:color="auto"/>
        <w:left w:val="none" w:sz="0" w:space="0" w:color="auto"/>
        <w:bottom w:val="none" w:sz="0" w:space="0" w:color="auto"/>
        <w:right w:val="none" w:sz="0" w:space="0" w:color="auto"/>
      </w:divBdr>
    </w:div>
    <w:div w:id="969940920">
      <w:bodyDiv w:val="1"/>
      <w:marLeft w:val="0"/>
      <w:marRight w:val="0"/>
      <w:marTop w:val="0"/>
      <w:marBottom w:val="0"/>
      <w:divBdr>
        <w:top w:val="none" w:sz="0" w:space="0" w:color="auto"/>
        <w:left w:val="none" w:sz="0" w:space="0" w:color="auto"/>
        <w:bottom w:val="none" w:sz="0" w:space="0" w:color="auto"/>
        <w:right w:val="none" w:sz="0" w:space="0" w:color="auto"/>
      </w:divBdr>
    </w:div>
    <w:div w:id="1318530298">
      <w:bodyDiv w:val="1"/>
      <w:marLeft w:val="0"/>
      <w:marRight w:val="0"/>
      <w:marTop w:val="0"/>
      <w:marBottom w:val="0"/>
      <w:divBdr>
        <w:top w:val="none" w:sz="0" w:space="0" w:color="auto"/>
        <w:left w:val="none" w:sz="0" w:space="0" w:color="auto"/>
        <w:bottom w:val="none" w:sz="0" w:space="0" w:color="auto"/>
        <w:right w:val="none" w:sz="0" w:space="0" w:color="auto"/>
      </w:divBdr>
    </w:div>
    <w:div w:id="1340935405">
      <w:bodyDiv w:val="1"/>
      <w:marLeft w:val="0"/>
      <w:marRight w:val="0"/>
      <w:marTop w:val="0"/>
      <w:marBottom w:val="0"/>
      <w:divBdr>
        <w:top w:val="none" w:sz="0" w:space="0" w:color="auto"/>
        <w:left w:val="none" w:sz="0" w:space="0" w:color="auto"/>
        <w:bottom w:val="none" w:sz="0" w:space="0" w:color="auto"/>
        <w:right w:val="none" w:sz="0" w:space="0" w:color="auto"/>
      </w:divBdr>
    </w:div>
    <w:div w:id="21349828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5.emf"/><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hyperlink" Target="http://cores.ibest.uidaho.edu" TargetMode="External"/><Relationship Id="rId2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2.xml"/><Relationship Id="rId31" Type="http://schemas.openxmlformats.org/officeDocument/2006/relationships/footer" Target="footer1.xml"/><Relationship Id="rId32" Type="http://schemas.openxmlformats.org/officeDocument/2006/relationships/header" Target="header3.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en.wikipedia.org/wiki/RNA" TargetMode="External"/><Relationship Id="rId12" Type="http://schemas.openxmlformats.org/officeDocument/2006/relationships/hyperlink" Target="http://en.wikipedia.org/wiki/RRNA" TargetMode="External"/><Relationship Id="rId13" Type="http://schemas.openxmlformats.org/officeDocument/2006/relationships/hyperlink" Target="http://en.wikipedia.org/wiki/Directionality_%28molecular_biology%29" TargetMode="External"/><Relationship Id="rId14" Type="http://schemas.openxmlformats.org/officeDocument/2006/relationships/hyperlink" Target="http://en.wikipedia.org/wiki/Messenger_RNA" TargetMode="External"/><Relationship Id="rId15" Type="http://schemas.openxmlformats.org/officeDocument/2006/relationships/hyperlink" Target="http://en.wikipedia.org/wiki/Tandem_repeat" TargetMode="External"/><Relationship Id="rId16" Type="http://schemas.openxmlformats.org/officeDocument/2006/relationships/hyperlink" Target="http://en.wikipedia.org/wiki/Taxonomy" TargetMode="External"/><Relationship Id="rId17" Type="http://schemas.openxmlformats.org/officeDocument/2006/relationships/hyperlink" Target="http://en.wikipedia.org/wiki/Molecular_phylogeny" TargetMode="External"/><Relationship Id="rId18" Type="http://schemas.openxmlformats.org/officeDocument/2006/relationships/image" Target="media/image3.emf"/><Relationship Id="rId1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9ECD9-05CF-C54B-BDC1-CF920F725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1731</Words>
  <Characters>9873</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Manager/>
  <Company>University of Idaho</Company>
  <LinksUpToDate>false</LinksUpToDate>
  <CharactersWithSpaces>11581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Settles</dc:creator>
  <cp:keywords/>
  <dc:description/>
  <cp:lastModifiedBy>Suresh Iyer</cp:lastModifiedBy>
  <cp:revision>3</cp:revision>
  <cp:lastPrinted>2013-02-14T18:33:00Z</cp:lastPrinted>
  <dcterms:created xsi:type="dcterms:W3CDTF">2013-03-01T23:54:00Z</dcterms:created>
  <dcterms:modified xsi:type="dcterms:W3CDTF">2013-03-02T00:01:00Z</dcterms:modified>
  <cp:category/>
</cp:coreProperties>
</file>