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4369d6973de345e8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spacing w:after="80"/>
      </w:pPr>
      <w:r>
        <w:rPr>
          <w:rFonts w:ascii="Arial" w:hAnsi="Arial" w:eastAsia="Arial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spacing w:after="80"/>
      </w:pPr>
      <w:r>
        <w:rPr>
          <w:rFonts w:ascii="Arial" w:hAnsi="Arial" w:eastAsia="Arial"/>
        </w:rPr>
        <w:t>Управление Директорами. Методология реализации</w:t>
      </w:r>
    </w:p>
    <w:p w14:paraId="00100006" w14:textId="00100007"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Как применять 12 DOCX, XLSX-слой, кейсы, онбординг, weekly review / еженедельный разбор и финальный отчет.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10166"/>
      </w:tblGrid>
      <w:tr>
        <w:tc>
          <w:tcPr>
            <w:tcW w:w="10166" w:type="dxa"/>
            <w:shd w:fill="F3EBDD"/>
            <w:tcMar>
              <w:top w:w="120" w:type="dxa"/>
              <w:start w:w="160" w:type="dxa"/>
              <w:bottom w:w="120" w:type="dxa"/>
              <w:end w:w="160" w:type="dxa"/>
            </w:tcMar>
          </w:tcPr>
          <w:p w14:paraId="00100008" w14:textId="00100009"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Главное правило реализации</w:t>
            </w:r>
          </w:p>
          <w:p w14:paraId="0010000A" w14:textId="0010000B"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CLM нельзя внедрять как чтение 12 документов подряд. Реализация идет через форматы работы: Презентация, Диагностика, Сессия, Спринт, Сопровождение. DOCX объясняют технологию, XLSX фиксируют данные и выводы, кейсы доказывают применимость.</w:t>
            </w:r>
          </w:p>
        </w:tc>
      </w:tr>
    </w:tbl>
    <w:p w14:paraId="0010000C" w14:textId="0010000D"/>
    <w:p w14:paraId="0010000E" w14:textId="0010000F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Состав операционной системы CLM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21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10" w14:textId="00100011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w="39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12" w14:textId="00100013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входит</w:t>
            </w:r>
          </w:p>
        </w:tc>
        <w:tc>
          <w:tcPr>
            <w:tcW w:w="336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14" w14:textId="00100015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Зачем нужен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16" w14:textId="00100017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Методика</w:t>
            </w:r>
          </w:p>
        </w:tc>
        <w:tc>
          <w:tcPr>
            <w:tcW w:w="3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18" w14:textId="0010001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12 DOCX-блоков, главный гид, FAQ / частые вопросы, глоссарий.</w:t>
            </w:r>
          </w:p>
        </w:tc>
        <w:tc>
          <w:tcPr>
            <w:tcW w:w="3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1A" w14:textId="0010001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Единая логика технологии и терминов.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1C" w14:textId="0010001D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Рабочий слой</w:t>
            </w:r>
          </w:p>
        </w:tc>
        <w:tc>
          <w:tcPr>
            <w:tcW w:w="3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1E" w14:textId="0010001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XLSX 3-12: диагностика, оценка, Decision OS, синхронизация, устойчивость, переход, AI / ИИ, панель, Roadmap / дорожная карта, артефакты.</w:t>
            </w:r>
          </w:p>
        </w:tc>
        <w:tc>
          <w:tcPr>
            <w:tcW w:w="3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20" w14:textId="0010002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Заполнение, расчет, отчет и управленческий вывод.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22" w14:textId="0010002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Коммерческий слой</w:t>
            </w:r>
          </w:p>
        </w:tc>
        <w:tc>
          <w:tcPr>
            <w:tcW w:w="3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24" w14:textId="0010002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Презентация, первый разговор, квалификация, возражения, цены и упаковка.</w:t>
            </w:r>
          </w:p>
        </w:tc>
        <w:tc>
          <w:tcPr>
            <w:tcW w:w="3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26" w14:textId="0010002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Продажа через ценность, а не через документы.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28" w14:textId="0010002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Реализационный слой</w:t>
            </w:r>
          </w:p>
        </w:tc>
        <w:tc>
          <w:tcPr>
            <w:tcW w:w="3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2A" w14:textId="0010002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Онбординг, кикофф, weekly review / еженедельный отчет, финальный отчет, кейс.</w:t>
            </w:r>
          </w:p>
        </w:tc>
        <w:tc>
          <w:tcPr>
            <w:tcW w:w="3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2C" w14:textId="0010002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Удержание процесса и результата.</w:t>
            </w:r>
          </w:p>
        </w:tc>
      </w:tr>
    </w:tbl>
    <w:p w14:paraId="0010002E" w14:textId="0010002F"/>
    <w:p w14:paraId="00100030" w14:textId="00100031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Сквозная схема реализации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0B1F33"/>
          </w:tcPr>
          <w:p w14:paraId="00100032" w14:textId="00100033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Промежуток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 w14:paraId="00100034" w14:textId="00100035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Диагностика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 w14:paraId="00100036" w14:textId="00100037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Сессия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 w14:paraId="00100038" w14:textId="00100039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Спринт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0B1F33"/>
          </w:tcPr>
          <w:p w14:paraId="0010003A" w14:textId="0010003B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Сопровождение</w:t>
            </w:r>
          </w:p>
        </w:tc>
      </w:tr>
      <w:tr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F3EBDD"/>
          </w:tcPr>
          <w:p w14:paraId="0010003C" w14:textId="0010003D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Презентация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 w14:paraId="0010003E" w14:textId="0010003F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Найти разрыв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 w14:paraId="00100040" w14:textId="00100041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Собрать решение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 w14:paraId="00100042" w14:textId="00100043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Проверить</w:t>
            </w:r>
          </w:p>
        </w:tc>
        <w:tc>
          <w:tcPr>
            <w:tcW w:w="1872" w:type="dxa"/>
            <w:tcMar>
              <w:top w:w="80" w:type="dxa"/>
              <w:start w:w="80" w:type="dxa"/>
              <w:bottom w:w="80" w:type="dxa"/>
              <w:end w:w="80" w:type="dxa"/>
            </w:tcMar>
            <w:shd w:fill="F3EBDD"/>
          </w:tcPr>
          <w:p w14:paraId="00100044" w14:textId="00100045"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Удержать</w:t>
            </w:r>
          </w:p>
        </w:tc>
      </w:tr>
    </w:tbl>
    <w:p w14:paraId="00100046" w14:textId="00100047"/>
    <w:p w14:paraId="00100048" w14:textId="00100049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Форматы реализации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w="130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4A" w14:textId="0010004B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Формат</w:t>
            </w:r>
          </w:p>
        </w:tc>
        <w:tc>
          <w:tcPr>
            <w:tcW w:w="205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4C" w14:textId="0010004D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Вход</w:t>
            </w:r>
          </w:p>
        </w:tc>
        <w:tc>
          <w:tcPr>
            <w:tcW w:w="275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4E" w14:textId="0010004F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делаем</w:t>
            </w:r>
          </w:p>
        </w:tc>
        <w:tc>
          <w:tcPr>
            <w:tcW w:w="190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50" w14:textId="00100051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Выход</w:t>
            </w:r>
          </w:p>
        </w:tc>
        <w:tc>
          <w:tcPr>
            <w:tcW w:w="136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52" w14:textId="00100053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 после этапа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54" w14:textId="00100055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Презентация</w:t>
            </w:r>
          </w:p>
        </w:tc>
        <w:tc>
          <w:tcPr>
            <w:tcW w:w="20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56" w14:textId="0010005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Запрос с сайта или рекомендация.</w:t>
            </w:r>
          </w:p>
        </w:tc>
        <w:tc>
          <w:tcPr>
            <w:tcW w:w="2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58" w14:textId="0010005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Показываем проблему, 12 блоков, продукты, кейсы, цены после ценности.</w:t>
            </w:r>
          </w:p>
        </w:tc>
        <w:tc>
          <w:tcPr>
            <w:tcW w:w="1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5A" w14:textId="0010005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Понимание CLM и интерес к разговору.</w:t>
            </w:r>
          </w:p>
        </w:tc>
        <w:tc>
          <w:tcPr>
            <w:tcW w:w="1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5C" w14:textId="0010005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Стратегический разговор / стоп.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5E" w14:textId="0010005F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Диагностика</w:t>
            </w:r>
          </w:p>
        </w:tc>
        <w:tc>
          <w:tcPr>
            <w:tcW w:w="20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60" w14:textId="0010006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боль, доступ к CEO и первому кругу, но нет подтвержденного диагноза.</w:t>
            </w:r>
          </w:p>
        </w:tc>
        <w:tc>
          <w:tcPr>
            <w:tcW w:w="2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62" w14:textId="0010006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Интервью, документы, разбор решений, XLSX блока 3 и при необходимости смежные блоки.</w:t>
            </w:r>
          </w:p>
        </w:tc>
        <w:tc>
          <w:tcPr>
            <w:tcW w:w="1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64" w14:textId="00100176">
            <w:pPr>
              <w:spacing w:after="0" w:line="254" w:lineRule="auto"/>
            </w:pPr>
            <w:r>
              <w:t xml:space="preserve">Карта C-level-разрывов и протокол вердикта.</w:t>
            </w:r>
          </w:p>
        </w:tc>
        <w:tc>
          <w:tcPr>
            <w:tcW w:w="1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66" w14:textId="00100177">
            <w:pPr>
              <w:spacing w:after="0" w:line="254" w:lineRule="auto"/>
            </w:pPr>
            <w:r>
              <w:t xml:space="preserve">GO → Сессия; GO при условиях → закрыть условия внутри Диагностики, затем Сессия; HOLD → пауза с возвратом в Диагностику; STOP / NO FIT → завершить.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68" w14:textId="0010006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Сессия</w:t>
            </w:r>
          </w:p>
        </w:tc>
        <w:tc>
          <w:tcPr>
            <w:tcW w:w="20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6A" w14:textId="0010006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Диагноз подтвержден, участники имеют мандат принимать решения.</w:t>
            </w:r>
          </w:p>
        </w:tc>
        <w:tc>
          <w:tcPr>
            <w:tcW w:w="2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6C" w14:textId="0010006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Собираем целевую конфигурацию, роли, мандаты, Decision OS, план 30 / 60 / 90.</w:t>
            </w:r>
          </w:p>
        </w:tc>
        <w:tc>
          <w:tcPr>
            <w:tcW w:w="1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6E" w14:textId="0010006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Архитектурное решение.</w:t>
            </w:r>
          </w:p>
        </w:tc>
        <w:tc>
          <w:tcPr>
            <w:tcW w:w="1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70" w14:textId="00100178">
            <w:pPr>
              <w:spacing w:after="0" w:line="254" w:lineRule="auto"/>
            </w:pPr>
            <w:r>
              <w:t xml:space="preserve">Паспорт Спринта готов → Спринт; паспорт не готов → доработка в Сессии; обязательный блокер → STOP.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72" w14:textId="0010007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Спринт</w:t>
            </w:r>
          </w:p>
        </w:tc>
        <w:tc>
          <w:tcPr>
            <w:tcW w:w="20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74" w14:textId="0010007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выбранный ограниченный контур, владелец и метрика успеха.</w:t>
            </w:r>
          </w:p>
        </w:tc>
        <w:tc>
          <w:tcPr>
            <w:tcW w:w="2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76" w14:textId="0010007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Тестируем новую архитектуру на реальном стыке, решении или контуре.</w:t>
            </w:r>
          </w:p>
        </w:tc>
        <w:tc>
          <w:tcPr>
            <w:tcW w:w="1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78" w14:textId="0010007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Метрики до / после, отклонения, вердикт.</w:t>
            </w:r>
          </w:p>
        </w:tc>
        <w:tc>
          <w:tcPr>
            <w:tcW w:w="1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7A" w14:textId="00100179">
            <w:pPr>
              <w:spacing w:after="0" w:line="254" w:lineRule="auto"/>
            </w:pPr>
            <w:r>
              <w:t xml:space="preserve">Внедренный результат → Сопровождение при необходимости или завершение; исправимое отклонение → продолжить Спринт; неверная исходная архитектура → Сессия; неустранимый блокер → STOP.</w:t>
            </w:r>
          </w:p>
        </w:tc>
      </w:tr>
      <w:tr>
        <w:trPr>
          <w:cantSplit/>
        </w:trPr>
        <w:tc>
          <w:tcPr>
            <w:tcW w:w="1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7C" w14:textId="0010007D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Сопровождение</w:t>
            </w:r>
          </w:p>
        </w:tc>
        <w:tc>
          <w:tcPr>
            <w:tcW w:w="20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7E" w14:textId="0010007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Нужно удерживать архитектуру во времени.</w:t>
            </w:r>
          </w:p>
        </w:tc>
        <w:tc>
          <w:tcPr>
            <w:tcW w:w="2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80" w14:textId="0010008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Регулярные review / разборы, контроль мандатов, Decision OS, панели и рисков.</w:t>
            </w:r>
          </w:p>
        </w:tc>
        <w:tc>
          <w:tcPr>
            <w:tcW w:w="19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82" w14:textId="0010008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Долговременная управляемость.</w:t>
            </w:r>
          </w:p>
        </w:tc>
        <w:tc>
          <w:tcPr>
            <w:tcW w:w="13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84" w14:textId="0010017A">
            <w:pPr>
              <w:spacing w:after="0" w:line="254" w:lineRule="auto"/>
            </w:pPr>
            <w:r>
              <w:t xml:space="preserve">Удерживать → продолжить Сопровождение; ограниченная корректировка → новый Спринт; изменение архитектуры → Сессия; стабильный результат → завершить.</w:t>
            </w:r>
          </w:p>
        </w:tc>
      </w:tr>
    </w:tbl>
    <w:p w14:paraId="00100086" w14:textId="00100087"/>
    <w:p w14:paraId="00100088" w14:textId="00100089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Связь 12 блоков CLM с форматами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16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8A" w14:textId="0010008B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Блоки</w:t>
            </w:r>
          </w:p>
        </w:tc>
        <w:tc>
          <w:tcPr>
            <w:tcW w:w="475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8C" w14:textId="0010008D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Роль в реализации</w:t>
            </w:r>
          </w:p>
        </w:tc>
        <w:tc>
          <w:tcPr>
            <w:tcW w:w="301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8E" w14:textId="0010008F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применяются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90" w14:textId="00100091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1-2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92" w14:textId="0010009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Фундамент, архитектура, модель 23 / 15 / 7, роли и мандаты.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94" w14:textId="0010009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Презентация, Диагностика, Сессия.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96" w14:textId="00100097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3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98" w14:textId="0010009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диагностический вход: карта разрывов C-level-ядра.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9A" w14:textId="0010009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9C" w14:textId="0010009D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4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9E" w14:textId="0010009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Оценка руководителей относительно роли, мандата и системной задачи.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A0" w14:textId="001000A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Диагностика, Сессия, Сопровождение.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A2" w14:textId="001000A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5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A4" w14:textId="001000A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Decision OS / система решений: вход, владелец, данные, права, фиксация, разбор.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A6" w14:textId="001000A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Сессия, Спринт, Сопровождение.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A8" w14:textId="001000A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6-8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AA" w14:textId="001000A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Синхронизация, устойчивость и лидерский переход.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AC" w14:textId="001000A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Сессия, Спринт, Сопровождение.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AE" w14:textId="001000AF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9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B0" w14:textId="001000B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AI / ИИ-контур, допуск, владелец данных, эффект, риск, человеческая проверка.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B2" w14:textId="001000B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Диагностика, Спринт, Сопровождение при наличии AI / ИИ-сценариев.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B4" w14:textId="001000B5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10-12</w:t>
            </w:r>
          </w:p>
        </w:tc>
        <w:tc>
          <w:tcPr>
            <w:tcW w:w="47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B6" w14:textId="001000B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Панель, дорожная карта, библиотека артефактов.</w:t>
            </w:r>
          </w:p>
        </w:tc>
        <w:tc>
          <w:tcPr>
            <w:tcW w:w="30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B8" w14:textId="001000B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Спринт, Сопровождение, финальный отчет.</w:t>
            </w:r>
          </w:p>
        </w:tc>
      </w:tr>
    </w:tbl>
    <w:p w14:paraId="001000BA" w14:textId="001000BB"/>
    <w:p w14:paraId="001000BC" w14:textId="001000BD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Обязательные артефакты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15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BE" w14:textId="001000BF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w="42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C0" w14:textId="001000C1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Артефакты</w:t>
            </w:r>
          </w:p>
        </w:tc>
        <w:tc>
          <w:tcPr>
            <w:tcW w:w="366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C2" w14:textId="001000C3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C4" w14:textId="001000C5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До старта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C6" w14:textId="001000C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Brief проекта, scope / объем, список участников, запрос данных.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C8" w14:textId="001000C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доступ к CEO, первому кругу и материалам.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CA" w14:textId="001000CB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Диагностика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CC" w14:textId="001000C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Диагностический отчет, карта разрывов, карта решений, рекомендация следующего шага.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CE" w14:textId="001000C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не менее 3 подтвержденных разрывов или обоснованный стоп.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D0" w14:textId="001000D1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Сессия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D2" w14:textId="001000D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Протокол, целевая конфигурация, карта мандатов, Decision OS, план 30 / 60 / 90.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D4" w14:textId="001000D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Решения зафиксированы, владельцы назначены.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D6" w14:textId="001000D7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Спринт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D8" w14:textId="001000D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спринта, базовые метрики, weekly review / еженедельный разбор, итоговый разбор.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DA" w14:textId="001000D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метрики до / после и управленческий вердикт.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DC" w14:textId="001000DD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Сопровождение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DE" w14:textId="001000D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Календарь касаний, ежемесячный review, карта рисков, обновление Roadmap / дорожной карты.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E0" w14:textId="001000E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 не откатывается в ручное управление.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E2" w14:textId="001000E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Завершение</w:t>
            </w:r>
          </w:p>
        </w:tc>
        <w:tc>
          <w:tcPr>
            <w:tcW w:w="42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E4" w14:textId="001000E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Финальный отчет и кейс.</w:t>
            </w:r>
          </w:p>
        </w:tc>
        <w:tc>
          <w:tcPr>
            <w:tcW w:w="36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E6" w14:textId="001000E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Показано: с чего начинали, что сделали, что изменилось, что закрепили.</w:t>
            </w:r>
          </w:p>
        </w:tc>
      </w:tr>
    </w:tbl>
    <w:p w14:paraId="001000E8" w14:textId="001000E9"/>
    <w:p w14:paraId="001000EA" w14:textId="001000EB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Go / Hold / No-Go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180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EC" w14:textId="001000ED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Статус</w:t>
            </w:r>
          </w:p>
        </w:tc>
        <w:tc>
          <w:tcPr>
            <w:tcW w:w="430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EE" w14:textId="001000EF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ставить</w:t>
            </w:r>
          </w:p>
        </w:tc>
        <w:tc>
          <w:tcPr>
            <w:tcW w:w="3260" w:type="dxa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0F0" w14:textId="001000F1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делать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F2" w14:textId="001000F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F4" w14:textId="001000F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боль, ЛПР, доступ к первому кругу, данные и готовность к управленческому решению.</w:t>
            </w:r>
          </w:p>
        </w:tc>
        <w:tc>
          <w:tcPr>
            <w:tcW w:w="32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F6" w14:textId="001000F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Запускать следующий формат.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F8" w14:textId="001000F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HOLD / удержать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FA" w14:textId="001000F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интерес, но нет доступа, данных, времени CEO или согласия ключевых участников.</w:t>
            </w:r>
          </w:p>
        </w:tc>
        <w:tc>
          <w:tcPr>
            <w:tcW w:w="32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0FC" w14:textId="001000F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Закрыть условия входа, не начинать проект декоративно.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0FE" w14:textId="001000FF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NO-GO / не запускать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00" w14:textId="0010010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 хочет только оргсхему, HR-оценку, фасилитацию без решений или дешевую консультацию без доступа к C-level.</w:t>
            </w:r>
          </w:p>
        </w:tc>
        <w:tc>
          <w:tcPr>
            <w:tcW w:w="32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02" w14:textId="0010010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Остановить или предложить другой продукт.</w:t>
            </w:r>
          </w:p>
        </w:tc>
      </w:tr>
    </w:tbl>
    <w:p w14:paraId="00100104" w14:textId="00100105"/>
    <w:p w14:paraId="00100106" w14:textId="00100107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Ритм управления проектом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21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08" w14:textId="00100109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Ритм</w:t>
            </w:r>
          </w:p>
        </w:tc>
        <w:tc>
          <w:tcPr>
            <w:tcW w:w="43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0A" w14:textId="0010010B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Содержание</w:t>
            </w:r>
          </w:p>
        </w:tc>
        <w:tc>
          <w:tcPr>
            <w:tcW w:w="296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0C" w14:textId="0010010D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Для чего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0E" w14:textId="0010010F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Кикофф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10" w14:textId="0010011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Цель, ожидания, критерии успеха, доступы, календарь.</w:t>
            </w:r>
          </w:p>
        </w:tc>
        <w:tc>
          <w:tcPr>
            <w:tcW w:w="29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12" w14:textId="0010011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Снять хаос до старта.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14" w14:textId="00100115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Weekly review / еженедельный разбор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16" w14:textId="0010011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Статус треков, решения, метрики, риски, следующие действия.</w:t>
            </w:r>
          </w:p>
        </w:tc>
        <w:tc>
          <w:tcPr>
            <w:tcW w:w="29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18" w14:textId="0010011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дать проекту превратиться в разговоры.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1A" w14:textId="0010011B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Ежемесячный review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1C" w14:textId="0010011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Архитектура, ownership / владение, Decision OS, синхронизация, устойчивость.</w:t>
            </w:r>
          </w:p>
        </w:tc>
        <w:tc>
          <w:tcPr>
            <w:tcW w:w="29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1E" w14:textId="0010011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Проверить, не откатывается ли система.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20" w14:textId="00100121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Финальный отчет</w:t>
            </w:r>
          </w:p>
        </w:tc>
        <w:tc>
          <w:tcPr>
            <w:tcW w:w="43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22" w14:textId="0010012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 / после, цели, метрики, артефакты, решение о следующем шаге.</w:t>
            </w:r>
          </w:p>
        </w:tc>
        <w:tc>
          <w:tcPr>
            <w:tcW w:w="29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24" w14:textId="0010012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Закрыть цикл и создать кейс.</w:t>
            </w:r>
          </w:p>
        </w:tc>
      </w:tr>
    </w:tbl>
    <w:p w14:paraId="00100126" w14:textId="00100127"/>
    <w:p w14:paraId="00100128" w14:textId="00100129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8. Антиошибки реализации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25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2A" w14:textId="0010012B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Ошибка</w:t>
            </w:r>
          </w:p>
        </w:tc>
        <w:tc>
          <w:tcPr>
            <w:tcW w:w="335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2C" w14:textId="0010012D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опасно</w:t>
            </w:r>
          </w:p>
        </w:tc>
        <w:tc>
          <w:tcPr>
            <w:tcW w:w="351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2E" w14:textId="0010012F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Правильное действие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30" w14:textId="00100131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Свести CLM к оргструктуре</w:t>
            </w:r>
          </w:p>
        </w:tc>
        <w:tc>
          <w:tcPr>
            <w:tcW w:w="33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32" w14:textId="0010013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Исчезает главный предмет: роли, мандаты, решения и ответственность.</w:t>
            </w:r>
          </w:p>
        </w:tc>
        <w:tc>
          <w:tcPr>
            <w:tcW w:w="35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34" w14:textId="0010013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Проверять фактическое владение решениями.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36" w14:textId="00100137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Свести CLM к HR-оценке</w:t>
            </w:r>
          </w:p>
        </w:tc>
        <w:tc>
          <w:tcPr>
            <w:tcW w:w="33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38" w14:textId="0010013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Оценка людей без архитектуры не меняет систему.</w:t>
            </w:r>
          </w:p>
        </w:tc>
        <w:tc>
          <w:tcPr>
            <w:tcW w:w="35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3A" w14:textId="0010013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Сначала система, потом человек в роли.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3C" w14:textId="0010013D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Провести сессию без диагноза</w:t>
            </w:r>
          </w:p>
        </w:tc>
        <w:tc>
          <w:tcPr>
            <w:tcW w:w="33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3E" w14:textId="0010013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Получится разговор про команду, а не решение.</w:t>
            </w:r>
          </w:p>
        </w:tc>
        <w:tc>
          <w:tcPr>
            <w:tcW w:w="35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40" w14:textId="0010014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Сначала подтвердить разрывы.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42" w14:textId="00100143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Запустить спринт без владельца и метрики</w:t>
            </w:r>
          </w:p>
        </w:tc>
        <w:tc>
          <w:tcPr>
            <w:tcW w:w="33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44" w14:textId="00100145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Нечего проверять и нечем доказать результат.</w:t>
            </w:r>
          </w:p>
        </w:tc>
        <w:tc>
          <w:tcPr>
            <w:tcW w:w="35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46" w14:textId="0010014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Паспорт спринта до старта.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48" w14:textId="0010014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Показать все 12 блоков клиенту как обязательную дорогу</w:t>
            </w:r>
          </w:p>
        </w:tc>
        <w:tc>
          <w:tcPr>
            <w:tcW w:w="335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4A" w14:textId="0010014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Технология станет тяжелой и непродаваемой.</w:t>
            </w:r>
          </w:p>
        </w:tc>
        <w:tc>
          <w:tcPr>
            <w:tcW w:w="351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4C" w14:textId="0010014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Входить с нужного этапа.</w:t>
            </w:r>
          </w:p>
        </w:tc>
      </w:tr>
    </w:tbl>
    <w:p w14:paraId="0010014E" w14:textId="0010014F"/>
    <w:p w14:paraId="00100150" w14:textId="00100151"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9. Ролевая проверка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  <w:tblInd w:w="120" w:type="dxa"/>
        <w:tblBorders>
          <w:top w:val="single" w:color="D8D2C8" w:sz="4" w:space="0"/>
          <w:left w:val="single" w:color="D8D2C8" w:sz="4" w:space="0"/>
          <w:bottom w:val="single" w:color="D8D2C8" w:sz="4" w:space="0"/>
          <w:right w:val="single" w:color="D8D2C8" w:sz="4" w:space="0"/>
          <w:insideH w:val="single" w:color="D8D2C8" w:sz="4" w:space="0"/>
          <w:insideV w:val="single" w:color="D8D2C8" w:sz="4" w:space="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w="25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52" w14:textId="00100153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Режим</w:t>
            </w:r>
          </w:p>
        </w:tc>
        <w:tc>
          <w:tcPr>
            <w:tcW w:w="180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54" w14:textId="00100155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Вердикт</w:t>
            </w:r>
          </w:p>
        </w:tc>
        <w:tc>
          <w:tcPr>
            <w:tcW w:w="5060" w:type="dxa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 w14:paraId="00100156" w14:textId="00100157"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58" w14:textId="00100159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Архитектор CLM</w:t>
            </w:r>
          </w:p>
        </w:tc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5A" w14:textId="0010015B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w="50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5C" w14:textId="0010015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12 блоков сохранены, но реализация идет через форматы работы.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5E" w14:textId="0010015F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Методолог</w:t>
            </w:r>
          </w:p>
        </w:tc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60" w14:textId="00100161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w="50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62" w14:textId="00100163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DOCX, XLSX и артефакты разведены по ролям.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64" w14:textId="00100165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Коммерческий внедренец</w:t>
            </w:r>
          </w:p>
        </w:tc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66" w14:textId="00100167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w="50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 w14:paraId="00100168" w14:textId="00100169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понятная цепочка от презентации до Сопровождение.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6A" w14:textId="0010016B"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QA / контроль</w:t>
            </w:r>
          </w:p>
        </w:tc>
        <w:tc>
          <w:tcPr>
            <w:tcW w:w="180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6C" w14:textId="0010016D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w="5060" w:type="dx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 w14:paraId="0010016E" w14:textId="0010016F"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Go / Hold / No-Go и критерии готовности каждого этапа.</w:t>
            </w:r>
          </w:p>
        </w:tc>
      </w:tr>
    </w:tbl>
    <w:p w14:paraId="00100170" w14:textId="00100171"/>
    <w:sectPr w:rsidRPr="0006063C" w:rsidR="00FC693F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174" w14:textId="00100175"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172" w14:textId="00100173">
    <w:pPr>
      <w:pStyle w:val="Header"/>
      <w:jc w:val="right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="Calibri" w:hAnsi="Calibri" w:asciiTheme="majorHAnsi" w:hAnsiTheme="majorHAnsi" w:eastAsiaTheme="majorEastAsia" w:cstheme="majorBid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="Calibri" w:hAnsi="Calibri" w:asciiTheme="majorHAnsi" w:hAnsiTheme="majorHAnsi" w:eastAsiaTheme="majorEastAsia" w:cstheme="majorBid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="Calibri" w:hAnsi="Calibri" w:asciiTheme="majorHAnsi" w:hAnsiTheme="majorHAnsi" w:eastAsiaTheme="majorEastAsia" w:cstheme="majorBid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CLM_IMPLEMENTATION_METHODOLOGY_V1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2026-10-12T13:42:25Z</vt:lpwstr>
  </op:property>
</op:Properties>
</file>