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fd4d84f78bd24051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color w:val="1F7A8C"/>
          <w:sz w:val="20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pStyle w:val="Title"/>
        <w:jc w:val="left"/>
      </w:pPr>
      <w:r>
        <w:t>Управление Директорами. Диагностика</w:t>
      </w:r>
    </w:p>
    <w:p w14:paraId="00100006" w14:textId="00100007">
      <w:r>
        <w:rPr>
          <w:color w:val="4A5568"/>
          <w:sz w:val="24"/>
        </w:rPr>
        <w:t>Обязательный платный вход: проверить управляемость C-level-ядра и принять честный вердикт продолжать / остановить.</w:t>
      </w:r>
    </w:p>
    <w:p w14:paraId="00100008" w14:textId="00100009">
      <w:r>
        <w:rPr>
          <w:rFonts w:ascii="Arial" w:hAnsi="Arial" w:eastAsia="Arial"/>
        </w:rPr>
        <w:t>Документ внутренний рабочий. Версия v1.</w:t>
      </w:r>
    </w:p>
    <w:p w14:paraId="0010000A" w14:textId="0010000B">
      <w:pPr>
        <w:pStyle w:val="Heading1"/>
      </w:pPr>
      <w:r>
        <w:t>1. Назначение продукта</w:t>
      </w:r>
    </w:p>
    <w:p w14:paraId="0010000C" w14:textId="0010000D">
      <w:r>
        <w:t>Первое и единственное обязательное звено цепи. Платность дисциплинирует клиента, отсекает случайный спрос и дает право на честный отказ от дальнейшей работы.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>
        <w:tc>
          <w:tcPr>
            <w:tcW w:w="10368" w:type="dxa"/>
            <w:shd w:fill="E6F4F1"/>
            <w:tcBorders>
              <w:top w:val="single" w:color="B7D9D2" w:sz="6" w:space="0"/>
              <w:left w:val="single" w:color="B7D9D2" w:sz="6" w:space="0"/>
              <w:bottom w:val="single" w:color="B7D9D2" w:sz="6" w:space="0"/>
              <w:right w:val="single" w:color="B7D9D2" w:sz="6" w:space="0"/>
            </w:tcBorders>
          </w:tcPr>
          <w:p w14:paraId="0010000E" w14:textId="0010000F">
            <w:r/>
            <w:r>
              <w:rPr>
                <w:b/>
                <w:color w:val="16324F"/>
                <w:sz w:val="20"/>
              </w:rPr>
              <w:t>Рабочий принцип</w:t>
            </w:r>
          </w:p>
          <w:p w14:paraId="00100010" w14:textId="00100011">
            <w:r>
              <w:rPr>
                <w:sz w:val="18"/>
              </w:rPr>
              <w:t>Этот документ предназначен для внутренней работы консультанта. Цены не указываются: коммерческая сетка живет в отдельном файле с ценами и упаковкой.</w:t>
            </w:r>
          </w:p>
        </w:tc>
      </w:tr>
    </w:tbl>
    <w:p w14:paraId="00100012" w14:textId="00100013">
      <w:r>
        <w:drawing>
          <wp:inline xmlns:a="http://schemas.openxmlformats.org/drawingml/2006/main" xmlns:pic="http://schemas.openxmlformats.org/drawingml/2006/picture">
            <wp:extent cx="6583680" cy="228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k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14" w14:textId="00100015">
      <w:pPr>
        <w:pStyle w:val="Heading1"/>
      </w:pPr>
      <w:r>
        <w:t>2. Вход и выход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6" w14:textId="00100017"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763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8" w14:textId="00100019"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A" w14:textId="0010001B">
            <w:r>
              <w:rPr>
                <w:sz w:val="18"/>
              </w:rPr>
              <w:t>Вход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C" w14:textId="0010001D">
            <w:r>
              <w:rPr>
                <w:sz w:val="18"/>
              </w:rPr>
              <w:t>Первичный запрос собственника, CEO / генерального директора, Board / совета директоров или C-level-команды.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E" w14:textId="0010001F">
            <w:r>
              <w:rPr>
                <w:sz w:val="18"/>
              </w:rPr>
              <w:t>Выход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0" w14:textId="001000A2">
            <w:pPr/>
            <w:r>
              <w:rPr>
                <w:sz w:val="18"/>
              </w:rPr>
              <w:t xml:space="preserve">Протокол одного из пяти вердиктов: GO, GO при условиях, HOLD, STOP или NO FIT; для каждого указан следующий шаг.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2" w14:textId="00100023">
            <w:r>
              <w:rPr>
                <w:sz w:val="18"/>
              </w:rPr>
              <w:t>Ключевые блоки CLM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4" w14:textId="00100025">
            <w:r>
              <w:rPr>
                <w:sz w:val="18"/>
              </w:rPr>
              <w:t>1-3 обязательно; 4-10 точечно как диагностические линзы; 11-12 только как предварительный контур возможного выхода.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6" w14:textId="00100027">
            <w:r>
              <w:rPr>
                <w:sz w:val="18"/>
              </w:rPr>
              <w:t>Главный риск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8" w14:textId="00100029">
            <w:r>
              <w:rPr>
                <w:sz w:val="18"/>
              </w:rPr>
              <w:t>Главный риск - превратить диагностику в бесплатную консультацию или общий аудит без права сказать Stop / остановить.</w:t>
            </w:r>
          </w:p>
        </w:tc>
      </w:tr>
    </w:tbl>
    <w:p w14:paraId="0010002A" w14:textId="0010002B">
      <w:pPr>
        <w:pStyle w:val="Heading1"/>
      </w:pPr>
      <w:r>
        <w:t>3. Рабочая последовательность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6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C" w14:textId="0010002D"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30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E" w14:textId="0010002F"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w="446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0" w14:textId="00100031"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2" w14:textId="00100033">
            <w:r>
              <w:rPr>
                <w:b/>
                <w:color w:val="FFFFFF"/>
                <w:sz w:val="18"/>
              </w:rPr>
              <w:t>Артефакт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4" w14:textId="00100035">
            <w:r>
              <w:rPr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6" w14:textId="00100037">
            <w:r>
              <w:rPr>
                <w:sz w:val="18"/>
              </w:rPr>
              <w:t>Зафиксировать запрос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8" w14:textId="00100039">
            <w:r>
              <w:rPr>
                <w:sz w:val="18"/>
              </w:rPr>
              <w:t>Понять триггер, владельца, цену ошибки и ожидание клиента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A" w14:textId="0010003B">
            <w:r>
              <w:rPr>
                <w:sz w:val="18"/>
              </w:rPr>
              <w:t>Карточка первичного запроса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C" w14:textId="0010003D">
            <w:r>
              <w:rPr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E" w14:textId="0010003F">
            <w:r>
              <w:rPr>
                <w:sz w:val="18"/>
              </w:rPr>
              <w:t>Проверить допуск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0" w14:textId="00100041">
            <w:r>
              <w:rPr>
                <w:sz w:val="18"/>
              </w:rPr>
              <w:t>Отсечь случайный спрос, отсутствие мандата и неподходящие ожидания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2" w14:textId="00100043">
            <w:r>
              <w:rPr>
                <w:sz w:val="18"/>
              </w:rPr>
              <w:t>Чеклист допуска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4" w14:textId="00100045">
            <w:r>
              <w:rPr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6" w14:textId="00100047">
            <w:r>
              <w:rPr>
                <w:sz w:val="18"/>
              </w:rPr>
              <w:t>Собрать карту C-level-ядра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8" w14:textId="00100049">
            <w:r>
              <w:rPr>
                <w:sz w:val="18"/>
              </w:rPr>
              <w:t>Проверить роли, мандаты, решения, данные, доверие и ритмы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A" w14:textId="0010004B">
            <w:r>
              <w:rPr>
                <w:sz w:val="18"/>
              </w:rPr>
              <w:t>Рабочая книга диагностики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C" w14:textId="0010004D">
            <w:r>
              <w:rPr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E" w14:textId="0010004F">
            <w:r>
              <w:rPr>
                <w:sz w:val="18"/>
              </w:rPr>
              <w:t>Сформировать вердикт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0" w14:textId="00100051">
            <w:r>
              <w:rPr>
                <w:sz w:val="18"/>
              </w:rPr>
              <w:t>Дать честное решение о продолжении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2" w14:textId="00100053">
            <w:r>
              <w:rPr>
                <w:sz w:val="18"/>
              </w:rPr>
              <w:t>Протокол вердикта</w:t>
            </w:r>
          </w:p>
        </w:tc>
      </w:tr>
    </w:tbl>
    <w:p w14:paraId="00100054" w14:textId="00100055">
      <w:pPr>
        <w:pStyle w:val="Heading1"/>
      </w:pPr>
      <w:r>
        <w:t>4. Что заполняется в XLSX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16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6" w14:textId="00100057">
            <w:r>
              <w:rPr>
                <w:b/>
                <w:color w:val="FFFFFF"/>
                <w:sz w:val="18"/>
              </w:rPr>
              <w:t>Лист</w:t>
            </w:r>
          </w:p>
        </w:tc>
        <w:tc>
          <w:tcPr>
            <w:tcW w:w="691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8" w14:textId="00100059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A" w14:textId="0010005B">
            <w:r>
              <w:rPr>
                <w:sz w:val="18"/>
              </w:rPr>
              <w:t>00 Индекс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C" w14:textId="0010005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E" w14:textId="0010005F">
            <w:r>
              <w:rPr>
                <w:sz w:val="18"/>
              </w:rPr>
              <w:t>01 Первичный запрос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0" w14:textId="0010006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2" w14:textId="00100063">
            <w:r>
              <w:rPr>
                <w:sz w:val="18"/>
              </w:rPr>
              <w:t>02 Допуск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4" w14:textId="00100065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6" w14:textId="00100067">
            <w:r>
              <w:rPr>
                <w:sz w:val="18"/>
              </w:rPr>
              <w:t>03 Роли и мандаты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8" w14:textId="00100069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A" w14:textId="0010006B">
            <w:r>
              <w:rPr>
                <w:sz w:val="18"/>
              </w:rPr>
              <w:t>04 Разрывы CLM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C" w14:textId="0010006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E" w14:textId="0010006F">
            <w:r>
              <w:rPr>
                <w:sz w:val="18"/>
              </w:rPr>
              <w:t>05 Вердикт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0" w14:textId="0010007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</w:tbl>
    <w:p w14:paraId="00100072" w14:textId="00100073">
      <w:pPr>
        <w:pStyle w:val="Heading1"/>
      </w:pPr>
      <w:r>
        <w:t>5. Стоп-факторы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60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4" w14:textId="00100075">
            <w:r>
              <w:rPr>
                <w:b/>
                <w:color w:val="FFFFFF"/>
                <w:sz w:val="18"/>
              </w:rPr>
              <w:t>Стоп-фактор</w:t>
            </w:r>
          </w:p>
        </w:tc>
        <w:tc>
          <w:tcPr>
            <w:tcW w:w="648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6" w14:textId="00100077"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8" w14:textId="00100079">
            <w:r>
              <w:rPr>
                <w:sz w:val="18"/>
              </w:rPr>
              <w:t>Нет владельца запроса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A" w14:textId="0010007B">
            <w:r>
              <w:rPr>
                <w:sz w:val="18"/>
              </w:rPr>
              <w:t>Остановить работу до назначения владельца.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C" w14:textId="0010007D">
            <w:r>
              <w:rPr>
                <w:sz w:val="18"/>
              </w:rPr>
              <w:t>Нет права на честный вывод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E" w14:textId="0010007F">
            <w:r>
              <w:rPr>
                <w:sz w:val="18"/>
              </w:rPr>
              <w:t>Не начинать продукт, потому что результат будет политически безопасным, но бесполезным.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0" w14:textId="00100081">
            <w:r>
              <w:rPr>
                <w:sz w:val="18"/>
              </w:rPr>
              <w:t>Нет фактов, только мнения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2" w14:textId="00100083">
            <w:r>
              <w:rPr>
                <w:sz w:val="18"/>
              </w:rPr>
              <w:t>Снизить уровень вывода до гипотезы и запросить подтверждение.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4" w14:textId="00100085">
            <w:r>
              <w:rPr>
                <w:sz w:val="18"/>
              </w:rPr>
              <w:t>Клиент требует пропустить обязательный шаг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6" w14:textId="00100087">
            <w:r>
              <w:rPr>
                <w:sz w:val="18"/>
              </w:rPr>
              <w:t>Зафиксировать риск и не продавать следующий продукт как полноценный.</w:t>
            </w:r>
          </w:p>
        </w:tc>
      </w:tr>
    </w:tbl>
    <w:p w14:paraId="00100088" w14:textId="00100089">
      <w:pPr>
        <w:pStyle w:val="Heading1"/>
      </w:pPr>
      <w:r>
        <w:t>6. Проверка перед закрытием продукта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460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A" w14:textId="0010008B"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547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C" w14:textId="0010008D">
            <w:r>
              <w:rPr>
                <w:b/>
                <w:color w:val="FFFFFF"/>
                <w:sz w:val="18"/>
              </w:rPr>
              <w:t>Ответ должен быть виден в документах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E" w14:textId="0010008F">
            <w:r>
              <w:rPr>
                <w:sz w:val="18"/>
              </w:rPr>
              <w:t>Какой управленческий разрыв был решен или проверен?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0" w14:textId="00100091">
            <w:r>
              <w:rPr>
                <w:sz w:val="18"/>
              </w:rPr>
              <w:t>Да, есть конкретная формулировка.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2" w14:textId="00100093">
            <w:r>
              <w:rPr>
                <w:sz w:val="18"/>
              </w:rPr>
              <w:t>Кто владелец следующего действия?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4" w14:textId="00100095">
            <w:r>
              <w:rPr>
                <w:sz w:val="18"/>
              </w:rPr>
              <w:t>Да, указан человек или роль, а не абстрактная функция.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6" w14:textId="00100097">
            <w:r>
              <w:rPr>
                <w:sz w:val="18"/>
              </w:rPr>
              <w:t>Какой документ является итогом?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8" w14:textId="00100099">
            <w:r>
              <w:rPr>
                <w:sz w:val="18"/>
              </w:rPr>
              <w:t>Да, итоговый артефакт создан и связан с XLSX.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A" w14:textId="0010009B">
            <w:r>
              <w:rPr>
                <w:sz w:val="18"/>
              </w:rPr>
              <w:t>Можно ли показать клиенту пользу без объяснения всей CLM?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C" w14:textId="0010009D">
            <w:r>
              <w:rPr>
                <w:sz w:val="18"/>
              </w:rPr>
              <w:t>Да, результат понятен на языке бизнеса.</w:t>
            </w:r>
          </w:p>
        </w:tc>
      </w:tr>
    </w:tbl>
    <w:p w14:paraId="001000A3" w14:textId="001000A4">
      <w:pPr>
        <w:pStyle w:val="Heading2"/>
        <w:keepNext/>
      </w:pPr>
      <w:r>
        <w:rPr/>
        <w:t xml:space="preserve">7. Нормативный переход продукта</w:t>
      </w:r>
    </w:p>
    <w:p w14:paraId="001000A5" w14:textId="001000A6">
      <w:pPr>
        <w:numPr>
          <w:ilvl w:val="0"/>
          <w:numId w:val="10"/>
        </w:numPr>
      </w:pPr>
      <w:r>
        <w:rPr/>
        <w:t xml:space="preserve">GO: перейти только в Сессию.</w:t>
      </w:r>
    </w:p>
    <w:p w14:paraId="001000A7" w14:textId="001000A8">
      <w:pPr>
        <w:numPr>
          <w:ilvl w:val="0"/>
          <w:numId w:val="10"/>
        </w:numPr>
      </w:pPr>
      <w:r>
        <w:rPr/>
        <w:t xml:space="preserve">GO при условиях: остаться в Диагностике до документального закрытия всех условий; затем перейти только в Сессию.</w:t>
      </w:r>
    </w:p>
    <w:p w14:paraId="001000A9" w14:textId="001000AA">
      <w:pPr>
        <w:numPr>
          <w:ilvl w:val="0"/>
          <w:numId w:val="10"/>
        </w:numPr>
      </w:pPr>
      <w:r>
        <w:rPr/>
        <w:t xml:space="preserve">HOLD: зафиксировать недостающие условия и вернуться в Диагностику после их восстановления.</w:t>
      </w:r>
    </w:p>
    <w:p w14:paraId="001000AB" w14:textId="001000AC">
      <w:pPr>
        <w:numPr>
          <w:ilvl w:val="0"/>
          <w:numId w:val="10"/>
        </w:numPr>
      </w:pPr>
      <w:r>
        <w:rPr/>
        <w:t xml:space="preserve">STOP: завершить работу по подтвержденному блокеру. NO FIT: завершить работу из-за неприменимости CLM.</w:t>
      </w:r>
    </w:p>
    <w:p w14:paraId="001000AD" w14:textId="001000AE">
      <w:pPr>
        <w:numPr>
          <w:ilvl w:val="0"/>
          <w:numId w:val="10"/>
        </w:numPr>
      </w:pPr>
      <w:r>
        <w:rPr/>
        <w:t xml:space="preserve">Прямые переходы из Диагностики в Спринт или Сопровождение запрещены.</w:t>
      </w:r>
    </w:p>
    <w:sectPr w:rsidRPr="0006063C" w:rsidR="00FC693F" w:rsidSect="00034616">
      <w:headerReference w:type="default" r:id="rId10"/>
      <w:footerReference w:type="default" r:id="rId11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A0" w14:textId="001000A1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E" w14:textId="0010009F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UD_PRODUCT_01_DIAGNOSTIKA_INTERNAL_WORK_PROTOCOL_V1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2026-10-12T13:42:27Z</vt:lpwstr>
  </op:property>
</op:Properties>
</file>