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735a9a4cc97e4915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jc w:val="left"/>
      </w:pPr>
      <w:r>
        <w:rPr>
          <w:b/>
          <w:color w:val="1F7A8C"/>
          <w:sz w:val="20"/>
        </w:rPr>
        <w:t>Управление Директорами</w:t>
      </w:r>
    </w:p>
    <w:p w14:paraId="00100002" w14:textId="00100003"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 w14:paraId="00100004" w14:textId="00100005">
      <w:pPr>
        <w:pStyle w:val="Title"/>
        <w:jc w:val="left"/>
      </w:pPr>
      <w:r>
        <w:t>Управление Директорами. Сопровождение</w:t>
      </w:r>
    </w:p>
    <w:p w14:paraId="00100006" w14:textId="00100007">
      <w:r>
        <w:rPr>
          <w:color w:val="4A5568"/>
          <w:sz w:val="24"/>
        </w:rPr>
        <w:t>Закрепить результат после Спринта, увидеть отклонения и решить: продолжать, менять, масштабировать или завершать.</w:t>
      </w:r>
    </w:p>
    <w:p w14:paraId="00100008" w14:textId="00100009">
      <w:r>
        <w:rPr>
          <w:rFonts w:ascii="Arial" w:hAnsi="Arial" w:eastAsia="Arial"/>
        </w:rPr>
        <w:t>Документ внутренний рабочий. Версия v1.</w:t>
      </w:r>
    </w:p>
    <w:p w14:paraId="0010000A" w14:textId="0010000B">
      <w:pPr>
        <w:pStyle w:val="Heading1"/>
      </w:pPr>
      <w:r>
        <w:t>1. Назначение продукта</w:t>
      </w:r>
    </w:p>
    <w:p w14:paraId="0010000C" w14:textId="0010000D">
      <w:r>
        <w:t>Сопровождение не является обязательным, но методология должна показывать клиенту цену отсутствия контроля после изменения.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>
        <w:tc>
          <w:tcPr>
            <w:tcW w:w="10368" w:type="dxa"/>
            <w:shd w:fill="E6F4F1"/>
            <w:tcBorders>
              <w:top w:val="single" w:color="B7D9D2" w:sz="6" w:space="0"/>
              <w:left w:val="single" w:color="B7D9D2" w:sz="6" w:space="0"/>
              <w:bottom w:val="single" w:color="B7D9D2" w:sz="6" w:space="0"/>
              <w:right w:val="single" w:color="B7D9D2" w:sz="6" w:space="0"/>
            </w:tcBorders>
          </w:tcPr>
          <w:p w14:paraId="0010000E" w14:textId="0010000F">
            <w:r/>
            <w:r>
              <w:rPr>
                <w:b/>
                <w:color w:val="16324F"/>
                <w:sz w:val="20"/>
              </w:rPr>
              <w:t>Рабочий принцип</w:t>
            </w:r>
          </w:p>
          <w:p w14:paraId="00100010" w14:textId="00100011">
            <w:r>
              <w:rPr>
                <w:sz w:val="18"/>
              </w:rPr>
              <w:t>Этот документ предназначен для внутренней работы консультанта. Цены не указываются: коммерческая сетка живет в отдельном файле с ценами и упаковкой.</w:t>
            </w:r>
          </w:p>
        </w:tc>
      </w:tr>
    </w:tbl>
    <w:p w14:paraId="00100012" w14:textId="00100013">
      <w:r>
        <w:drawing>
          <wp:inline xmlns:a="http://schemas.openxmlformats.org/drawingml/2006/main" xmlns:pic="http://schemas.openxmlformats.org/drawingml/2006/picture">
            <wp:extent cx="6583680" cy="2282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2823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14" w14:textId="00100015">
      <w:pPr>
        <w:pStyle w:val="Heading1"/>
      </w:pPr>
      <w:r>
        <w:t>2. Вход и выход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c>
          <w:tcPr>
            <w:tcW w:w="244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16" w14:textId="00100017"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w="7632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18" w14:textId="00100019"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1A" w14:textId="0010001B">
            <w:r>
              <w:rPr>
                <w:sz w:val="18"/>
              </w:rPr>
              <w:t>Вход</w:t>
            </w:r>
          </w:p>
        </w:tc>
        <w:tc>
          <w:tcPr>
            <w:tcW w:w="763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1C" w14:textId="0010009E">
            <w:pPr/>
            <w:r>
              <w:rPr>
                <w:sz w:val="18"/>
              </w:rPr>
              <w:t xml:space="preserve">Завершенный Спринт, минимум один внедренный результат, приемочные факты и подтвержденная необходимость контроля удержания.</w:t>
            </w:r>
          </w:p>
        </w:tc>
      </w:tr>
      <w:tr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1E" w14:textId="0010001F">
            <w:r>
              <w:rPr>
                <w:sz w:val="18"/>
              </w:rPr>
              <w:t>Выход</w:t>
            </w:r>
          </w:p>
        </w:tc>
        <w:tc>
          <w:tcPr>
            <w:tcW w:w="763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0" w14:textId="00100021">
            <w:r>
              <w:rPr>
                <w:sz w:val="18"/>
              </w:rPr>
              <w:t>Решение о дальнейшем цикле: удерживать, корректировать, масштабировать, вернуться к Сессии или завершить работу.</w:t>
            </w:r>
          </w:p>
        </w:tc>
      </w:tr>
      <w:tr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2" w14:textId="00100023">
            <w:r>
              <w:rPr>
                <w:sz w:val="18"/>
              </w:rPr>
              <w:t>Ключевые блоки CLM</w:t>
            </w:r>
          </w:p>
        </w:tc>
        <w:tc>
          <w:tcPr>
            <w:tcW w:w="763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4" w14:textId="00100025">
            <w:r>
              <w:rPr>
                <w:sz w:val="18"/>
              </w:rPr>
              <w:t>10-12 обязательно; 5-9 подключаются, если отклонение связано с решениями, синхронизацией, устойчивостью, лидерством или AI / ИИ.</w:t>
            </w:r>
          </w:p>
        </w:tc>
      </w:tr>
      <w:tr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6" w14:textId="00100027">
            <w:r>
              <w:rPr>
                <w:sz w:val="18"/>
              </w:rPr>
              <w:t>Главный риск</w:t>
            </w:r>
          </w:p>
        </w:tc>
        <w:tc>
          <w:tcPr>
            <w:tcW w:w="763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8" w14:textId="00100029">
            <w:r>
              <w:rPr>
                <w:sz w:val="18"/>
              </w:rPr>
              <w:t>Главный риск - продавать сопровождение как абонентское присутствие, а не как контроль удержания результата.</w:t>
            </w:r>
          </w:p>
        </w:tc>
      </w:tr>
    </w:tbl>
    <w:p w14:paraId="0010002A" w14:textId="0010002B">
      <w:pPr>
        <w:pStyle w:val="Heading1"/>
      </w:pPr>
      <w:r>
        <w:t>3. Рабочая последовательность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>
        <w:tc>
          <w:tcPr>
            <w:tcW w:w="64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2C" w14:textId="0010002D"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w="2304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2E" w14:textId="0010002F"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w="4464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30" w14:textId="00100031">
            <w:r>
              <w:rPr>
                <w:b/>
                <w:color w:val="FFFFFF"/>
                <w:sz w:val="18"/>
              </w:rPr>
              <w:t>Зачем</w:t>
            </w:r>
          </w:p>
        </w:tc>
        <w:tc>
          <w:tcPr>
            <w:tcW w:w="244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32" w14:textId="00100033">
            <w:r>
              <w:rPr>
                <w:b/>
                <w:color w:val="FFFFFF"/>
                <w:sz w:val="18"/>
              </w:rPr>
              <w:t>Артефакт</w:t>
            </w:r>
          </w:p>
        </w:tc>
      </w:tr>
      <w:tr>
        <w:tc>
          <w:tcPr>
            <w:tcW w:w="6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4" w14:textId="00100035">
            <w:r>
              <w:rPr>
                <w:sz w:val="18"/>
              </w:rPr>
              <w:t>1</w:t>
            </w:r>
          </w:p>
        </w:tc>
        <w:tc>
          <w:tcPr>
            <w:tcW w:w="230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6" w14:textId="00100037">
            <w:r>
              <w:rPr>
                <w:sz w:val="18"/>
              </w:rPr>
              <w:t>Проверить факт удержания</w:t>
            </w:r>
          </w:p>
        </w:tc>
        <w:tc>
          <w:tcPr>
            <w:tcW w:w="446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8" w14:textId="00100039">
            <w:r>
              <w:rPr>
                <w:sz w:val="18"/>
              </w:rPr>
              <w:t>Сравнить ожидание Спринта и реальное поведение системы</w:t>
            </w:r>
          </w:p>
        </w:tc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A" w14:textId="0010003B">
            <w:r>
              <w:rPr>
                <w:sz w:val="18"/>
              </w:rPr>
              <w:t>Отчет контроля</w:t>
            </w:r>
          </w:p>
        </w:tc>
      </w:tr>
      <w:tr>
        <w:tc>
          <w:tcPr>
            <w:tcW w:w="6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C" w14:textId="0010003D">
            <w:r>
              <w:rPr>
                <w:sz w:val="18"/>
              </w:rPr>
              <w:t>2</w:t>
            </w:r>
          </w:p>
        </w:tc>
        <w:tc>
          <w:tcPr>
            <w:tcW w:w="230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E" w14:textId="0010003F">
            <w:r>
              <w:rPr>
                <w:sz w:val="18"/>
              </w:rPr>
              <w:t>Выявить отклонения</w:t>
            </w:r>
          </w:p>
        </w:tc>
        <w:tc>
          <w:tcPr>
            <w:tcW w:w="446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0" w14:textId="00100041">
            <w:r>
              <w:rPr>
                <w:sz w:val="18"/>
              </w:rPr>
              <w:t>Понять, где результат не держится</w:t>
            </w:r>
          </w:p>
        </w:tc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2" w14:textId="00100043">
            <w:r>
              <w:rPr>
                <w:sz w:val="18"/>
              </w:rPr>
              <w:t>Карта отклонений</w:t>
            </w:r>
          </w:p>
        </w:tc>
      </w:tr>
      <w:tr>
        <w:tc>
          <w:tcPr>
            <w:tcW w:w="6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4" w14:textId="00100045">
            <w:r>
              <w:rPr>
                <w:sz w:val="18"/>
              </w:rPr>
              <w:t>3</w:t>
            </w:r>
          </w:p>
        </w:tc>
        <w:tc>
          <w:tcPr>
            <w:tcW w:w="230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6" w14:textId="00100047">
            <w:r>
              <w:rPr>
                <w:sz w:val="18"/>
              </w:rPr>
              <w:t>Принять решение</w:t>
            </w:r>
          </w:p>
        </w:tc>
        <w:tc>
          <w:tcPr>
            <w:tcW w:w="446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8" w14:textId="00100049">
            <w:r>
              <w:rPr>
                <w:sz w:val="18"/>
              </w:rPr>
              <w:t>Продолжить, изменить, остановить или масштабировать</w:t>
            </w:r>
          </w:p>
        </w:tc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A" w14:textId="0010004B">
            <w:r>
              <w:rPr>
                <w:sz w:val="18"/>
              </w:rPr>
              <w:t>Протокол решения</w:t>
            </w:r>
          </w:p>
        </w:tc>
      </w:tr>
      <w:tr>
        <w:tc>
          <w:tcPr>
            <w:tcW w:w="6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C" w14:textId="0010004D">
            <w:r>
              <w:rPr>
                <w:sz w:val="18"/>
              </w:rPr>
              <w:t>4</w:t>
            </w:r>
          </w:p>
        </w:tc>
        <w:tc>
          <w:tcPr>
            <w:tcW w:w="230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E" w14:textId="0010004F">
            <w:r>
              <w:rPr>
                <w:sz w:val="18"/>
              </w:rPr>
              <w:t>Назначить следующий цикл</w:t>
            </w:r>
          </w:p>
        </w:tc>
        <w:tc>
          <w:tcPr>
            <w:tcW w:w="446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0" w14:textId="00100051">
            <w:r>
              <w:rPr>
                <w:sz w:val="18"/>
              </w:rPr>
              <w:t>Не оставлять результат без владельца</w:t>
            </w:r>
          </w:p>
        </w:tc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2" w14:textId="00100053">
            <w:r>
              <w:rPr>
                <w:sz w:val="18"/>
              </w:rPr>
              <w:t>Решение о следующем цикле</w:t>
            </w:r>
          </w:p>
        </w:tc>
      </w:tr>
    </w:tbl>
    <w:p w14:paraId="00100054" w14:textId="00100055">
      <w:pPr>
        <w:pStyle w:val="Heading1"/>
      </w:pPr>
      <w:r>
        <w:t>4. Что заполняется в XLSX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c>
          <w:tcPr>
            <w:tcW w:w="316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56" w14:textId="00100057">
            <w:r>
              <w:rPr>
                <w:b/>
                <w:color w:val="FFFFFF"/>
                <w:sz w:val="18"/>
              </w:rPr>
              <w:t>Лист</w:t>
            </w:r>
          </w:p>
        </w:tc>
        <w:tc>
          <w:tcPr>
            <w:tcW w:w="6912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58" w14:textId="00100059"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A" w14:textId="0010005B">
            <w:r>
              <w:rPr>
                <w:sz w:val="18"/>
              </w:rPr>
              <w:t>00 Индекс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C" w14:textId="0010005D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E" w14:textId="0010005F">
            <w:r>
              <w:rPr>
                <w:sz w:val="18"/>
              </w:rPr>
              <w:t>01 Контроль результата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0" w14:textId="00100061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2" w14:textId="00100063">
            <w:r>
              <w:rPr>
                <w:sz w:val="18"/>
              </w:rPr>
              <w:t>02 Отклонения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4" w14:textId="00100065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6" w14:textId="00100067">
            <w:r>
              <w:rPr>
                <w:sz w:val="18"/>
              </w:rPr>
              <w:t>03 Решение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8" w14:textId="00100069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A" w14:textId="0010006B">
            <w:r>
              <w:rPr>
                <w:sz w:val="18"/>
              </w:rPr>
              <w:t>04 Следующий цикл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C" w14:textId="0010006D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</w:tbl>
    <w:p w14:paraId="0010006E" w14:textId="0010006F">
      <w:pPr>
        <w:pStyle w:val="Heading1"/>
      </w:pPr>
      <w:r>
        <w:t>5. Стоп-факторы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c>
          <w:tcPr>
            <w:tcW w:w="3600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70" w14:textId="00100071">
            <w:r>
              <w:rPr>
                <w:b/>
                <w:color w:val="FFFFFF"/>
                <w:sz w:val="18"/>
              </w:rPr>
              <w:t>Стоп-фактор</w:t>
            </w:r>
          </w:p>
        </w:tc>
        <w:tc>
          <w:tcPr>
            <w:tcW w:w="6480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72" w14:textId="00100073">
            <w:r>
              <w:rPr>
                <w:b/>
                <w:color w:val="FFFFFF"/>
                <w:sz w:val="18"/>
              </w:rPr>
              <w:t>Что делать</w:t>
            </w:r>
          </w:p>
        </w:tc>
      </w:tr>
      <w:tr>
        <w:tc>
          <w:tcPr>
            <w:tcW w:w="36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4" w14:textId="00100075">
            <w:r>
              <w:rPr>
                <w:sz w:val="18"/>
              </w:rPr>
              <w:t>Нет владельца запроса</w:t>
            </w:r>
          </w:p>
        </w:tc>
        <w:tc>
          <w:tcPr>
            <w:tcW w:w="64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6" w14:textId="00100077">
            <w:r>
              <w:rPr>
                <w:sz w:val="18"/>
              </w:rPr>
              <w:t>Остановить работу до назначения владельца.</w:t>
            </w:r>
          </w:p>
        </w:tc>
      </w:tr>
      <w:tr>
        <w:tc>
          <w:tcPr>
            <w:tcW w:w="36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8" w14:textId="00100079">
            <w:r>
              <w:rPr>
                <w:sz w:val="18"/>
              </w:rPr>
              <w:t>Нет права на честный вывод</w:t>
            </w:r>
          </w:p>
        </w:tc>
        <w:tc>
          <w:tcPr>
            <w:tcW w:w="64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A" w14:textId="0010007B">
            <w:r>
              <w:rPr>
                <w:sz w:val="18"/>
              </w:rPr>
              <w:t>Не начинать продукт, потому что результат будет политически безопасным, но бесполезным.</w:t>
            </w:r>
          </w:p>
        </w:tc>
      </w:tr>
      <w:tr>
        <w:tc>
          <w:tcPr>
            <w:tcW w:w="36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C" w14:textId="0010007D">
            <w:r>
              <w:rPr>
                <w:sz w:val="18"/>
              </w:rPr>
              <w:t>Нет фактов, только мнения</w:t>
            </w:r>
          </w:p>
        </w:tc>
        <w:tc>
          <w:tcPr>
            <w:tcW w:w="64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E" w14:textId="0010007F">
            <w:r>
              <w:rPr>
                <w:sz w:val="18"/>
              </w:rPr>
              <w:t>Снизить уровень вывода до гипотезы и запросить подтверждение.</w:t>
            </w:r>
          </w:p>
        </w:tc>
      </w:tr>
      <w:tr>
        <w:tc>
          <w:tcPr>
            <w:tcW w:w="36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0" w14:textId="00100081">
            <w:r>
              <w:rPr>
                <w:sz w:val="18"/>
              </w:rPr>
              <w:t>Клиент требует пропустить обязательный шаг</w:t>
            </w:r>
          </w:p>
        </w:tc>
        <w:tc>
          <w:tcPr>
            <w:tcW w:w="64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2" w14:textId="00100083">
            <w:r>
              <w:rPr>
                <w:sz w:val="18"/>
              </w:rPr>
              <w:t>Зафиксировать риск и не продавать следующий продукт как полноценный.</w:t>
            </w:r>
          </w:p>
        </w:tc>
      </w:tr>
    </w:tbl>
    <w:p w14:paraId="00100084" w14:textId="00100085">
      <w:pPr>
        <w:pStyle w:val="Heading1"/>
      </w:pPr>
      <w:r>
        <w:t>6. Проверка перед закрытием продукта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c>
          <w:tcPr>
            <w:tcW w:w="460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86" w14:textId="00100087"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w="5472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88" w14:textId="00100089">
            <w:r>
              <w:rPr>
                <w:b/>
                <w:color w:val="FFFFFF"/>
                <w:sz w:val="18"/>
              </w:rPr>
              <w:t>Ответ должен быть виден в документах</w:t>
            </w:r>
          </w:p>
        </w:tc>
      </w:tr>
      <w:tr>
        <w:tc>
          <w:tcPr>
            <w:tcW w:w="460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A" w14:textId="0010008B">
            <w:r>
              <w:rPr>
                <w:sz w:val="18"/>
              </w:rPr>
              <w:t>Какой управленческий разрыв был решен или проверен?</w:t>
            </w:r>
          </w:p>
        </w:tc>
        <w:tc>
          <w:tcPr>
            <w:tcW w:w="547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C" w14:textId="0010008D">
            <w:r>
              <w:rPr>
                <w:sz w:val="18"/>
              </w:rPr>
              <w:t>Да, есть конкретная формулировка.</w:t>
            </w:r>
          </w:p>
        </w:tc>
      </w:tr>
      <w:tr>
        <w:tc>
          <w:tcPr>
            <w:tcW w:w="460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E" w14:textId="0010008F">
            <w:r>
              <w:rPr>
                <w:sz w:val="18"/>
              </w:rPr>
              <w:t>Кто владелец следующего действия?</w:t>
            </w:r>
          </w:p>
        </w:tc>
        <w:tc>
          <w:tcPr>
            <w:tcW w:w="547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0" w14:textId="00100091">
            <w:r>
              <w:rPr>
                <w:sz w:val="18"/>
              </w:rPr>
              <w:t>Да, указан человек или роль, а не абстрактная функция.</w:t>
            </w:r>
          </w:p>
        </w:tc>
      </w:tr>
      <w:tr>
        <w:tc>
          <w:tcPr>
            <w:tcW w:w="460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2" w14:textId="00100093">
            <w:r>
              <w:rPr>
                <w:sz w:val="18"/>
              </w:rPr>
              <w:t>Какой документ является итогом?</w:t>
            </w:r>
          </w:p>
        </w:tc>
        <w:tc>
          <w:tcPr>
            <w:tcW w:w="547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4" w14:textId="00100095">
            <w:r>
              <w:rPr>
                <w:sz w:val="18"/>
              </w:rPr>
              <w:t>Да, итоговый артефакт создан и связан с XLSX.</w:t>
            </w:r>
          </w:p>
        </w:tc>
      </w:tr>
      <w:tr>
        <w:tc>
          <w:tcPr>
            <w:tcW w:w="460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6" w14:textId="00100097">
            <w:r>
              <w:rPr>
                <w:sz w:val="18"/>
              </w:rPr>
              <w:t>Можно ли показать клиенту пользу без объяснения всей CLM?</w:t>
            </w:r>
          </w:p>
        </w:tc>
        <w:tc>
          <w:tcPr>
            <w:tcW w:w="547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8" w14:textId="00100099">
            <w:r>
              <w:rPr>
                <w:sz w:val="18"/>
              </w:rPr>
              <w:t>Да, результат понятен на языке бизнеса.</w:t>
            </w:r>
          </w:p>
        </w:tc>
      </w:tr>
    </w:tbl>
    <w:p w14:paraId="0010009F" w14:textId="001000A0">
      <w:pPr>
        <w:pStyle w:val="Heading2"/>
        <w:keepNext/>
      </w:pPr>
      <w:r>
        <w:rPr/>
        <w:t xml:space="preserve">7. Нормативный переход продукта</w:t>
      </w:r>
    </w:p>
    <w:p w14:paraId="001000A1" w14:textId="001000A2">
      <w:pPr>
        <w:numPr>
          <w:ilvl w:val="0"/>
          <w:numId w:val="10"/>
        </w:numPr>
      </w:pPr>
      <w:r>
        <w:rPr/>
        <w:t xml:space="preserve">Результат удерживается: продолжить Сопровождение до согласованной точки завершения.</w:t>
      </w:r>
    </w:p>
    <w:p w14:paraId="001000A3" w14:textId="001000A4">
      <w:pPr>
        <w:numPr>
          <w:ilvl w:val="0"/>
          <w:numId w:val="10"/>
        </w:numPr>
      </w:pPr>
      <w:r>
        <w:rPr/>
        <w:t xml:space="preserve">Нужна ограниченная корректировка внедрения: открыть новый Спринт.</w:t>
      </w:r>
    </w:p>
    <w:p w14:paraId="001000A5" w14:textId="001000A6">
      <w:pPr>
        <w:numPr>
          <w:ilvl w:val="0"/>
          <w:numId w:val="10"/>
        </w:numPr>
      </w:pPr>
      <w:r>
        <w:rPr/>
        <w:t xml:space="preserve">Нужно изменить исходное решение или архитектуру: вернуться в Сессию.</w:t>
      </w:r>
    </w:p>
    <w:p w14:paraId="001000A7" w14:textId="001000A8">
      <w:pPr>
        <w:numPr>
          <w:ilvl w:val="0"/>
          <w:numId w:val="10"/>
        </w:numPr>
      </w:pPr>
      <w:r>
        <w:rPr/>
        <w:t xml:space="preserve">Результат стабилен и критерии закрыты: завершить работу.</w:t>
      </w:r>
    </w:p>
    <w:p w14:paraId="001000A9" w14:textId="001000AA">
      <w:pPr>
        <w:numPr>
          <w:ilvl w:val="0"/>
          <w:numId w:val="10"/>
        </w:numPr>
      </w:pPr>
      <w:r>
        <w:rPr/>
        <w:t xml:space="preserve">Новая несвязанная управленческая проблема требует отдельного входа через Диагностику; отсутствие фактов означает HOLD, а не догадку.</w:t>
      </w:r>
    </w:p>
    <w:sectPr w:rsidRPr="0006063C" w:rsidR="00FC693F" w:rsidSect="00034616">
      <w:headerReference w:type="default" r:id="rId10"/>
      <w:footerReference w:type="default" r:id="rId11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9C" w14:textId="0010009D"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9A" w14:textId="0010009B"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1F7A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rial" w:hAnsi="Arial" w:eastAsia="Arial" w:asciiTheme="majorHAnsi" w:hAnsiTheme="majorHAnsi" w:eastAsiaTheme="majorEastAsia" w:cstheme="majorBidi"/>
      <w:b/>
      <w:color w:val="16324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UD_PRODUCT_04_SUPPORT_INTERNAL_WORK_PROTOCOL_V1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2026-10-12T13:42:29Z</vt:lpwstr>
  </op:property>
</op:Properties>
</file>