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Акт проверки схем и заглушек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Акт фиксирует P2-проверку: пустые заглушки схем удалены, клиентская схема ядра создана отдельным документом, а маршрут чтения клиента вынесен в управляемый слой.</w:t>
            </w:r>
          </w:p>
        </w:tc>
      </w:tr>
    </w:tbl>
    <w:p>
      <w:pPr>
        <w:spacing w:after="20"/>
      </w:pPr>
    </w:p>
    <w:p>
      <w:pPr>
        <w:pStyle w:val="Heading1"/>
      </w:pPr>
      <w:r>
        <w:t>1. Результат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Проверка</w:t>
            </w:r>
          </w:p>
        </w:tc>
        <w:tc>
          <w:tcPr>
            <w:tcW w:type="dxa" w:w="147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Статус</w:t>
            </w:r>
          </w:p>
        </w:tc>
        <w:tc>
          <w:tcPr>
            <w:tcW w:type="dxa" w:w="5499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Результат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Пустые заглушки</w:t>
            </w:r>
          </w:p>
        </w:tc>
        <w:tc>
          <w:tcPr>
            <w:tcW w:type="dxa" w:w="147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549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Удалены точные пустые строки: Блок-схема логики документа, Блок-схема процесса, Пример диаграммы для чтения контура, Подзаголовок, Авторский термин.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Клиентская схема ядра</w:t>
            </w:r>
          </w:p>
        </w:tc>
        <w:tc>
          <w:tcPr>
            <w:tcW w:type="dxa" w:w="147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549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Создан отдельный документ с цепочкой: утечка прибыли -&gt; красная зона -&gt; решение -&gt; владелец -&gt; ритм.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Клиентский вход Диагностики</w:t>
            </w:r>
          </w:p>
        </w:tc>
        <w:tc>
          <w:tcPr>
            <w:tcW w:type="dxa" w:w="147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549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Создан клиентский лист платного входа Диагностики.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Маршрут чтения клиента</w:t>
            </w:r>
          </w:p>
        </w:tc>
        <w:tc>
          <w:tcPr>
            <w:tcW w:type="dxa" w:w="147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закрыто</w:t>
            </w:r>
          </w:p>
        </w:tc>
        <w:tc>
          <w:tcPr>
            <w:tcW w:type="dxa" w:w="5499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Создан компактный маршрут чтения по моментам клиентского пути.</w:t>
            </w:r>
          </w:p>
        </w:tc>
      </w:tr>
    </w:tbl>
    <w:p>
      <w:pPr>
        <w:pStyle w:val="Heading1"/>
      </w:pPr>
      <w:r>
        <w:t>2. Очищенные файлы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7370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Файл</w:t>
            </w:r>
          </w:p>
        </w:tc>
        <w:tc>
          <w:tcPr>
            <w:tcW w:type="dxa" w:w="187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Удалено строк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Документация/10 Диагностика/Контур_Маржи_Диагностика_Продукт_Описание_v2.0.docx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6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Документация/10 Диагностика/Контур_Маржи_Диагностика_Шаблон_Рабочие_формы_v2.0.docx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2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Документация/20 Сессия/Контур_Маржи_Сессия_Продукт_Описание_v2.0.docx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4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Документация/20 Сессия/Контур_Маржи_Сессия_Шаблон_Рабочие_формы_v2.0.docx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2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Документация/30 Спринт/Контур_Маржи_Спринт_Продукт_Описание_v2.0.docx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5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Документация/30 Спринт/Контур_Маржи_Спринт_Шаблон_Рабочие_формы_v2.0.docx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2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Документация/40 Сопровождение/Контур_Маржи_Сопровождение_Продукт_Описание_v2.0.docx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5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Документация/40 Сопровождение/Контур_Маржи_Сопровождение_Шаблон_Рабочие_формы_v2.0.docx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2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Документация/Контур_Маржи_Общие_Еженедельный_отчет_v2.0.docx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Документация/Контур_Маржи_Общие_Запуск_проекта_и_ожидания_клиента_v2.0.docx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Документация/Контур_Маржи_Общие_Коммерческое_предложение_v2.0.docx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Документация/Контур_Маржи_Общие_Методология_технологии_v2.0.docx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4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Документация/Контур_Маржи_Общие_Первый_разговор_и_квалификация_v2.0.docx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Документация/Контур_Маржи_Общие_Работа_с_возражениями_v2.0.docx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</w:t>
            </w:r>
          </w:p>
        </w:tc>
      </w:tr>
      <w:tr>
        <w:tc>
          <w:tcPr>
            <w:tcW w:type="dxa" w:w="737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30 Документация/Контур_Маржи_Общие_Финальный_отчет_и_описание_кейса_v2.0.docx</w:t>
            </w:r>
          </w:p>
        </w:tc>
        <w:tc>
          <w:tcPr>
            <w:tcW w:type="dxa" w:w="187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1</w:t>
            </w:r>
          </w:p>
        </w:tc>
      </w:tr>
    </w:tbl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