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EBDD"/>
            <w:tcBorders>
              <w:top w:val="single" w:sz="8" w:space="0" w:color="D6CBB8"/>
              <w:left w:val="single" w:sz="8" w:space="0" w:color="D6CBB8"/>
              <w:bottom w:val="single" w:sz="8" w:space="0" w:color="D6CBB8"/>
              <w:right w:val="single" w:sz="8" w:space="0" w:color="D6CBB8"/>
            </w:tcBorders>
            <w:tcMar>
              <w:top w:w="220" w:type="dxa"/>
              <w:start w:w="220" w:type="dxa"/>
              <w:bottom w:w="220" w:type="dxa"/>
              <w:end w:w="220" w:type="dxa"/>
            </w:tcMar>
          </w:tcPr>
          <w:p>
            <w:pPr>
              <w:spacing w:before="0" w:after="80" w:line="259" w:lineRule="auto"/>
            </w:pPr>
            <w:r>
              <w:rPr>
                <w:rFonts w:ascii="Arial" w:hAnsi="Arial" w:eastAsia="Arial"/>
                <w:b/>
                <w:color w:val="B46A3C"/>
                <w:sz w:val="18"/>
              </w:rPr>
              <w:t>18 | Коммерческий слой</w:t>
            </w:r>
          </w:p>
          <w:p>
            <w:pPr>
              <w:spacing w:before="0" w:after="120" w:line="240" w:lineRule="auto"/>
            </w:pPr>
            <w:r>
              <w:rPr>
                <w:rFonts w:ascii="Arial" w:hAnsi="Arial" w:eastAsia="Arial"/>
                <w:b/>
                <w:color w:val="0B1F33"/>
                <w:sz w:val="44"/>
              </w:rPr>
              <w:t>Сильный коммерческий оффер — Контур Маржи</w:t>
            </w:r>
          </w:p>
          <w:p>
            <w:pPr>
              <w:spacing w:before="0" w:after="80" w:line="259" w:lineRule="auto"/>
            </w:pPr>
            <w:r>
              <w:rPr>
                <w:rFonts w:ascii="Arial" w:hAnsi="Arial" w:eastAsia="Arial"/>
                <w:b/>
                <w:color w:val="111827"/>
                <w:sz w:val="22"/>
              </w:rPr>
              <w:t>Контур Маржи</w:t>
            </w:r>
            <w:r>
              <w:rPr>
                <w:rFonts w:ascii="Arial" w:hAnsi="Arial" w:eastAsia="Arial"/>
                <w:color w:val="111827"/>
                <w:sz w:val="21"/>
              </w:rPr>
              <w:t xml:space="preserve"> — технология управления ассортиментной прибылью в омниканальных продажах</w:t>
            </w:r>
          </w:p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color w:val="475569"/>
                <w:sz w:val="18"/>
              </w:rPr>
              <w:t>Роль документа: сильный коммерческий оффер. Авторский термин: OmniMargin Management / управление омниканальной маржой.</w:t>
            </w:r>
          </w:p>
        </w:tc>
      </w:tr>
    </w:tbl>
    <w:p>
      <w:r>
        <w:rPr>
          <w:rFonts w:ascii="Arial" w:hAnsi="Arial"/>
          <w:b/>
          <w:color w:val="1F4E79"/>
          <w:sz w:val="18"/>
        </w:rPr>
        <w:t>Статус версии: v2.0. Документ входит в связанный рабочий комплект технологии «Контур Маржи».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3623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metric_ba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36237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F8F3EA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40" w:line="257" w:lineRule="auto"/>
            </w:pPr>
            <w:r>
              <w:rPr>
                <w:rFonts w:ascii="Arial" w:hAnsi="Arial" w:eastAsia="Arial"/>
                <w:b/>
                <w:color w:val="B46A3C"/>
                <w:sz w:val="19"/>
              </w:rPr>
              <w:t xml:space="preserve">Ключевая формулировка: </w:t>
            </w:r>
            <w:r>
              <w:rPr>
                <w:rFonts w:ascii="Arial" w:hAnsi="Arial" w:eastAsia="Arial"/>
                <w:color w:val="111827"/>
                <w:sz w:val="19"/>
              </w:rPr>
              <w:t>технология управления ассортиментной прибылью в омниканальных продажах</w:t>
            </w:r>
          </w:p>
        </w:tc>
      </w:tr>
    </w:tbl>
    <w:p/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F8F3EA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40" w:line="257" w:lineRule="auto"/>
            </w:pPr>
            <w:r>
              <w:rPr>
                <w:rFonts w:ascii="Arial" w:hAnsi="Arial" w:eastAsia="Arial"/>
                <w:b/>
                <w:color w:val="B46A3C"/>
                <w:sz w:val="19"/>
              </w:rPr>
              <w:t xml:space="preserve">Ключевая формулировка: </w:t>
            </w:r>
            <w:r>
              <w:rPr>
                <w:rFonts w:ascii="Arial" w:hAnsi="Arial" w:eastAsia="Arial"/>
                <w:color w:val="111827"/>
                <w:sz w:val="19"/>
              </w:rPr>
              <w:t>OmniMargin Management / управление омниканальной маржой</w:t>
            </w:r>
          </w:p>
        </w:tc>
      </w:tr>
    </w:tbl>
    <w:p/>
    <w:p>
      <w:pPr>
        <w:spacing w:before="260" w:after="120" w:line="252" w:lineRule="auto"/>
      </w:pPr>
      <w:r>
        <w:rPr>
          <w:rFonts w:ascii="Arial" w:hAnsi="Arial" w:eastAsia="Arial"/>
          <w:b/>
          <w:color w:val="0B1F33"/>
          <w:sz w:val="31"/>
        </w:rPr>
        <w:t>1. Уравнение ценности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Желаемый результат: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F8F3EA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40" w:line="257" w:lineRule="auto"/>
            </w:pPr>
            <w:r>
              <w:rPr>
                <w:rFonts w:ascii="Arial" w:hAnsi="Arial" w:eastAsia="Arial"/>
                <w:b/>
                <w:color w:val="B46A3C"/>
                <w:sz w:val="19"/>
              </w:rPr>
              <w:t xml:space="preserve">Ключевая формулировка: </w:t>
            </w:r>
            <w:r>
              <w:rPr>
                <w:rFonts w:ascii="Arial" w:hAnsi="Arial" w:eastAsia="Arial"/>
                <w:color w:val="111827"/>
                <w:sz w:val="19"/>
              </w:rPr>
              <w:t>руководитель видит, где ассортимент теряет прибыль, кто отвечает за красные зоны и какие решения надо принять по SKU x канал.</w:t>
            </w:r>
          </w:p>
        </w:tc>
      </w:tr>
    </w:tbl>
    <w:p/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Не “больше продаж”, а: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F8F3EA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40" w:line="257" w:lineRule="auto"/>
            </w:pPr>
            <w:r>
              <w:rPr>
                <w:rFonts w:ascii="Arial" w:hAnsi="Arial" w:eastAsia="Arial"/>
                <w:b/>
                <w:color w:val="B46A3C"/>
                <w:sz w:val="19"/>
              </w:rPr>
              <w:t xml:space="preserve">Ключевая формулировка: </w:t>
            </w:r>
            <w:r>
              <w:rPr>
                <w:rFonts w:ascii="Arial" w:hAnsi="Arial" w:eastAsia="Arial"/>
                <w:color w:val="111827"/>
                <w:sz w:val="19"/>
              </w:rPr>
              <w:t>управляемая ассортиментная прибыль: SKU x канал x цена x запас x комиссия x возврат x ответственность x денежный поток.</w:t>
            </w:r>
          </w:p>
        </w:tc>
      </w:tr>
    </w:tbl>
    <w:p/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Вероятность результата: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технология строится на данных клиента;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диагностика отделяет факты от гипотез;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сессия фиксирует решения и владельцев;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спринт внедряет контур за 90 дней;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сопровождение удерживает ритм.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Скорость: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4 недели: карта потерь;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1-2 дня: управленческая сессия и решения;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90 дней: первый рабочий контур;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6-12 месяцев: сопровождение и развитие сценариев.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Усилие клиента: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нужен доступ к данным;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нужны владельцы со стороны коммерции, финансов, логистики и аналитики;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нужны решения руководителя, если красные зоны требуют остановки промо, изменения цены, вывода SKU или пересмотра канала.</w:t>
      </w:r>
    </w:p>
    <w:p>
      <w:pPr>
        <w:spacing w:before="260" w:after="120" w:line="252" w:lineRule="auto"/>
      </w:pPr>
      <w:r>
        <w:rPr>
          <w:rFonts w:ascii="Arial" w:hAnsi="Arial" w:eastAsia="Arial"/>
          <w:b/>
          <w:color w:val="0B1F33"/>
          <w:sz w:val="31"/>
        </w:rPr>
        <w:t>2. Главный оффер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Полная версия: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F8F3EA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40" w:line="257" w:lineRule="auto"/>
            </w:pPr>
            <w:r>
              <w:rPr>
                <w:rFonts w:ascii="Arial" w:hAnsi="Arial" w:eastAsia="Arial"/>
                <w:b/>
                <w:color w:val="B46A3C"/>
                <w:sz w:val="19"/>
              </w:rPr>
              <w:t xml:space="preserve">Ключевая формулировка: </w:t>
            </w:r>
            <w:r>
              <w:rPr>
                <w:rFonts w:ascii="Arial" w:hAnsi="Arial" w:eastAsia="Arial"/>
                <w:color w:val="111827"/>
                <w:sz w:val="19"/>
              </w:rPr>
              <w:t>Покажем, какие товары, каналы, промо, запасы, комиссии и возвраты съедают прибыль, и проведём компанию по цепочке: Диагностика -&gt; Сессия -&gt; Спринт -&gt; Сопровождение.</w:t>
            </w:r>
          </w:p>
        </w:tc>
      </w:tr>
    </w:tbl>
    <w:p/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Версия для спринта: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F8F3EA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40" w:line="257" w:lineRule="auto"/>
            </w:pPr>
            <w:r>
              <w:rPr>
                <w:rFonts w:ascii="Arial" w:hAnsi="Arial" w:eastAsia="Arial"/>
                <w:b/>
                <w:color w:val="B46A3C"/>
                <w:sz w:val="19"/>
              </w:rPr>
              <w:t xml:space="preserve">Ключевая формулировка: </w:t>
            </w:r>
            <w:r>
              <w:rPr>
                <w:rFonts w:ascii="Arial" w:hAnsi="Arial" w:eastAsia="Arial"/>
                <w:color w:val="111827"/>
                <w:sz w:val="19"/>
              </w:rPr>
              <w:t>За 90 дней соберём рабочий контур управления ассортиментной маржой по SKU x канал без тяжёлого IT / информационно-технологического старта.</w:t>
            </w:r>
          </w:p>
        </w:tc>
      </w:tr>
    </w:tbl>
    <w:p/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Короткая версия: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F8F3EA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40" w:line="257" w:lineRule="auto"/>
            </w:pPr>
            <w:r>
              <w:rPr>
                <w:rFonts w:ascii="Arial" w:hAnsi="Arial" w:eastAsia="Arial"/>
                <w:b/>
                <w:color w:val="B46A3C"/>
                <w:sz w:val="19"/>
              </w:rPr>
              <w:t xml:space="preserve">Ключевая формулировка: </w:t>
            </w:r>
            <w:r>
              <w:rPr>
                <w:rFonts w:ascii="Arial" w:hAnsi="Arial" w:eastAsia="Arial"/>
                <w:color w:val="111827"/>
                <w:sz w:val="19"/>
              </w:rPr>
              <w:t>Покажем, где ассортимент теряет прибыль, и превратим это в решения по SKU x канал.</w:t>
            </w:r>
          </w:p>
        </w:tc>
      </w:tr>
    </w:tbl>
    <w:p/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Версия для собственника: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F8F3EA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40" w:line="257" w:lineRule="auto"/>
            </w:pPr>
            <w:r>
              <w:rPr>
                <w:rFonts w:ascii="Arial" w:hAnsi="Arial" w:eastAsia="Arial"/>
                <w:b/>
                <w:color w:val="B46A3C"/>
                <w:sz w:val="19"/>
              </w:rPr>
              <w:t xml:space="preserve">Ключевая формулировка: </w:t>
            </w:r>
            <w:r>
              <w:rPr>
                <w:rFonts w:ascii="Arial" w:hAnsi="Arial" w:eastAsia="Arial"/>
                <w:color w:val="111827"/>
                <w:sz w:val="19"/>
              </w:rPr>
              <w:t>Переведём ассортимент из набора продаж в управляемый контур прибыли.</w:t>
            </w:r>
          </w:p>
        </w:tc>
      </w:tr>
    </w:tbl>
    <w:p/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Версия для финансового директора / CFO: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F8F3EA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40" w:line="257" w:lineRule="auto"/>
            </w:pPr>
            <w:r>
              <w:rPr>
                <w:rFonts w:ascii="Arial" w:hAnsi="Arial" w:eastAsia="Arial"/>
                <w:b/>
                <w:color w:val="B46A3C"/>
                <w:sz w:val="19"/>
              </w:rPr>
              <w:t xml:space="preserve">Ключевая формулировка: </w:t>
            </w:r>
            <w:r>
              <w:rPr>
                <w:rFonts w:ascii="Arial" w:hAnsi="Arial" w:eastAsia="Arial"/>
                <w:color w:val="111827"/>
                <w:sz w:val="19"/>
              </w:rPr>
              <w:t>Соберём P&amp;L / прибыль и убытки по SKU x канал и покажем, какие комиссии, возвраты, запасы и сроки создают потери и потребность в деньгах.</w:t>
            </w:r>
          </w:p>
        </w:tc>
      </w:tr>
    </w:tbl>
    <w:p/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Версия для коммерческого директора: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F8F3EA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40" w:line="257" w:lineRule="auto"/>
            </w:pPr>
            <w:r>
              <w:rPr>
                <w:rFonts w:ascii="Arial" w:hAnsi="Arial" w:eastAsia="Arial"/>
                <w:b/>
                <w:color w:val="B46A3C"/>
                <w:sz w:val="19"/>
              </w:rPr>
              <w:t xml:space="preserve">Ключевая формулировка: </w:t>
            </w:r>
            <w:r>
              <w:rPr>
                <w:rFonts w:ascii="Arial" w:hAnsi="Arial" w:eastAsia="Arial"/>
                <w:color w:val="111827"/>
                <w:sz w:val="19"/>
              </w:rPr>
              <w:t>Покажем, где канал, цена, промо и ассортимент конфликтуют друг с другом и съедают маржу.</w:t>
            </w:r>
          </w:p>
        </w:tc>
      </w:tr>
    </w:tbl>
    <w:p/>
    <w:p>
      <w:pPr>
        <w:spacing w:before="260" w:after="120" w:line="252" w:lineRule="auto"/>
      </w:pPr>
      <w:r>
        <w:rPr>
          <w:rFonts w:ascii="Arial" w:hAnsi="Arial" w:eastAsia="Arial"/>
          <w:b/>
          <w:color w:val="0B1F33"/>
          <w:sz w:val="31"/>
        </w:rPr>
        <w:t>3. Стек оффера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2775"/>
        <w:gridCol w:w="3292"/>
        <w:gridCol w:w="3293"/>
      </w:tblGrid>
      <w:tr>
        <w:trPr>
          <w:tblHeader w:val="true"/>
        </w:trPr>
        <w:tc>
          <w:tcPr>
            <w:tcW w:type="dxa" w:w="2775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Компонент</w:t>
            </w:r>
          </w:p>
        </w:tc>
        <w:tc>
          <w:tcPr>
            <w:tcW w:type="dxa" w:w="3292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Описание</w:t>
            </w:r>
          </w:p>
        </w:tc>
        <w:tc>
          <w:tcPr>
            <w:tcW w:type="dxa" w:w="3293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Ценность</w:t>
            </w:r>
          </w:p>
        </w:tc>
      </w:tr>
      <w:tr>
        <w:tc>
          <w:tcPr>
            <w:tcW w:type="dxa" w:w="2775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Диагностика Контура Маржи</w:t>
            </w:r>
          </w:p>
        </w:tc>
        <w:tc>
          <w:tcPr>
            <w:tcW w:type="dxa" w:w="3292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4 недели: данные, SKU x канал, 12 метрик, карта потерь, P0-P3</w:t>
            </w:r>
          </w:p>
        </w:tc>
        <w:tc>
          <w:tcPr>
            <w:tcW w:type="dxa" w:w="3293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понятно, где теряется прибыль</w:t>
            </w:r>
          </w:p>
        </w:tc>
      </w:tr>
      <w:tr>
        <w:tc>
          <w:tcPr>
            <w:tcW w:type="dxa" w:w="2775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Сессия Контура Маржи</w:t>
            </w:r>
          </w:p>
        </w:tc>
        <w:tc>
          <w:tcPr>
            <w:tcW w:type="dxa" w:w="3292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1-2 дня: решения, владельцы RACI / матрица ответственности, пороги, паспорт спринта</w:t>
            </w:r>
          </w:p>
        </w:tc>
        <w:tc>
          <w:tcPr>
            <w:tcW w:type="dxa" w:w="3293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команда принимает решения, а не спорит о мнениях</w:t>
            </w:r>
          </w:p>
        </w:tc>
      </w:tr>
      <w:tr>
        <w:tc>
          <w:tcPr>
            <w:tcW w:type="dxa" w:w="2775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Спринт Контура Маржи</w:t>
            </w:r>
          </w:p>
        </w:tc>
        <w:tc>
          <w:tcPr>
            <w:tcW w:type="dxa" w:w="3292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90 дней: P&amp;L / прибыль и убытки по SKU x канал, светофор, панель, еженедельный ритм</w:t>
            </w:r>
          </w:p>
        </w:tc>
        <w:tc>
          <w:tcPr>
            <w:tcW w:type="dxa" w:w="3293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контур начинает работать</w:t>
            </w:r>
          </w:p>
        </w:tc>
      </w:tr>
      <w:tr>
        <w:tc>
          <w:tcPr>
            <w:tcW w:type="dxa" w:w="2775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Сопровождение Контура Маржи</w:t>
            </w:r>
          </w:p>
        </w:tc>
        <w:tc>
          <w:tcPr>
            <w:tcW w:type="dxa" w:w="3292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6-12 месяцев: обзоры, квартальные ревизии, сценарии</w:t>
            </w:r>
          </w:p>
        </w:tc>
        <w:tc>
          <w:tcPr>
            <w:tcW w:type="dxa" w:w="3293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компания не откатывается к старому управлению</w:t>
            </w:r>
          </w:p>
        </w:tc>
      </w:tr>
    </w:tbl>
    <w:p/>
    <w:p>
      <w:pPr>
        <w:spacing w:before="260" w:after="120" w:line="252" w:lineRule="auto"/>
      </w:pPr>
      <w:r>
        <w:rPr>
          <w:rFonts w:ascii="Arial" w:hAnsi="Arial" w:eastAsia="Arial"/>
          <w:b/>
          <w:color w:val="0B1F33"/>
          <w:sz w:val="31"/>
        </w:rPr>
        <w:t>4. Коммерческая архитектура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Продукт продаётся как последовательная платная цепочка.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1508"/>
        <w:gridCol w:w="3925"/>
        <w:gridCol w:w="3927"/>
      </w:tblGrid>
      <w:tr>
        <w:trPr>
          <w:tblHeader w:val="true"/>
        </w:trPr>
        <w:tc>
          <w:tcPr>
            <w:tcW w:type="dxa" w:w="1508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Этап</w:t>
            </w:r>
          </w:p>
        </w:tc>
        <w:tc>
          <w:tcPr>
            <w:tcW w:type="dxa" w:w="3925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Что покупает клиент</w:t>
            </w:r>
          </w:p>
        </w:tc>
        <w:tc>
          <w:tcPr>
            <w:tcW w:type="dxa" w:w="3927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Почему это нельзя пропустить</w:t>
            </w:r>
          </w:p>
        </w:tc>
      </w:tr>
      <w:tr>
        <w:tc>
          <w:tcPr>
            <w:tcW w:type="dxa" w:w="1508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Диагностика</w:t>
            </w:r>
          </w:p>
        </w:tc>
        <w:tc>
          <w:tcPr>
            <w:tcW w:type="dxa" w:w="3925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карту потерь и доказательную базу</w:t>
            </w:r>
          </w:p>
        </w:tc>
        <w:tc>
          <w:tcPr>
            <w:tcW w:type="dxa" w:w="3927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без неё сессия станет разговором мнений</w:t>
            </w:r>
          </w:p>
        </w:tc>
      </w:tr>
      <w:tr>
        <w:tc>
          <w:tcPr>
            <w:tcW w:type="dxa" w:w="1508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Сессия</w:t>
            </w:r>
          </w:p>
        </w:tc>
        <w:tc>
          <w:tcPr>
            <w:tcW w:type="dxa" w:w="3925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решения, владельцев и паспорт спринта</w:t>
            </w:r>
          </w:p>
        </w:tc>
        <w:tc>
          <w:tcPr>
            <w:tcW w:type="dxa" w:w="3927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без неё спринт станет списком задач</w:t>
            </w:r>
          </w:p>
        </w:tc>
      </w:tr>
      <w:tr>
        <w:tc>
          <w:tcPr>
            <w:tcW w:type="dxa" w:w="1508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Спринт</w:t>
            </w:r>
          </w:p>
        </w:tc>
        <w:tc>
          <w:tcPr>
            <w:tcW w:type="dxa" w:w="3925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первый рабочий контур за 90 дней</w:t>
            </w:r>
          </w:p>
        </w:tc>
        <w:tc>
          <w:tcPr>
            <w:tcW w:type="dxa" w:w="3927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без него методология останется документом</w:t>
            </w:r>
          </w:p>
        </w:tc>
      </w:tr>
      <w:tr>
        <w:tc>
          <w:tcPr>
            <w:tcW w:type="dxa" w:w="1508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Сопровождение</w:t>
            </w:r>
          </w:p>
        </w:tc>
        <w:tc>
          <w:tcPr>
            <w:tcW w:type="dxa" w:w="3925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удержание ритма и развитие сценариев</w:t>
            </w:r>
          </w:p>
        </w:tc>
        <w:tc>
          <w:tcPr>
            <w:tcW w:type="dxa" w:w="3927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без него компания может откатиться к средним отчётам</w:t>
            </w:r>
          </w:p>
        </w:tc>
      </w:tr>
    </w:tbl>
    <w:p/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Правило: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F8F3EA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40" w:line="257" w:lineRule="auto"/>
            </w:pPr>
            <w:r>
              <w:rPr>
                <w:rFonts w:ascii="Arial" w:hAnsi="Arial" w:eastAsia="Arial"/>
                <w:b/>
                <w:color w:val="B46A3C"/>
                <w:sz w:val="19"/>
              </w:rPr>
              <w:t xml:space="preserve">Ключевая формулировка: </w:t>
            </w:r>
            <w:r>
              <w:rPr>
                <w:rFonts w:ascii="Arial" w:hAnsi="Arial" w:eastAsia="Arial"/>
                <w:color w:val="111827"/>
                <w:sz w:val="19"/>
              </w:rPr>
              <w:t>клиент не покупает “документы”. Клиент покупает управляемость ассортиментной прибыли.</w:t>
            </w:r>
          </w:p>
        </w:tc>
      </w:tr>
    </w:tbl>
    <w:p/>
    <w:p>
      <w:pPr>
        <w:spacing w:before="260" w:after="120" w:line="252" w:lineRule="auto"/>
      </w:pPr>
      <w:r>
        <w:rPr>
          <w:rFonts w:ascii="Arial" w:hAnsi="Arial" w:eastAsia="Arial"/>
          <w:b/>
          <w:color w:val="0B1F33"/>
          <w:sz w:val="31"/>
        </w:rPr>
        <w:t>5. Усилители ценности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Внутри проекта клиент получает: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карту красных SKU x канал;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таблицу 12 метрик;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RACI / матрица ответственности по красным зонам;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матрицу решений;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паспорт спринта;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еженедельный трекер;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финальный отчёт;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основу для кейса.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Важно: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F8F3EA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40" w:line="257" w:lineRule="auto"/>
            </w:pPr>
            <w:r>
              <w:rPr>
                <w:rFonts w:ascii="Arial" w:hAnsi="Arial" w:eastAsia="Arial"/>
                <w:b/>
                <w:color w:val="B46A3C"/>
                <w:sz w:val="19"/>
              </w:rPr>
              <w:t xml:space="preserve">Ключевая формулировка: </w:t>
            </w:r>
            <w:r>
              <w:rPr>
                <w:rFonts w:ascii="Arial" w:hAnsi="Arial" w:eastAsia="Arial"/>
                <w:color w:val="111827"/>
                <w:sz w:val="19"/>
              </w:rPr>
              <w:t>это не бонусы ради упаковки, а рабочие артефакты технологии.</w:t>
            </w:r>
          </w:p>
        </w:tc>
      </w:tr>
    </w:tbl>
    <w:p/>
    <w:p>
      <w:pPr>
        <w:spacing w:before="260" w:after="120" w:line="252" w:lineRule="auto"/>
      </w:pPr>
      <w:r>
        <w:rPr>
          <w:rFonts w:ascii="Arial" w:hAnsi="Arial" w:eastAsia="Arial"/>
          <w:b/>
          <w:color w:val="0B1F33"/>
          <w:sz w:val="31"/>
        </w:rPr>
        <w:t>6. Что мы не обещаем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Мы не обещаем: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одинаковый рост маржи всем компаниям;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эффект без данных;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эффект без права менять цену, промо, канал, запас или SKU;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полноценное IT / информационно-технологическое внедрение;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юридическую чистоту регуляторных блоков без проверки по документу 27.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Мы обещаем: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F8F3EA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40" w:line="257" w:lineRule="auto"/>
            </w:pPr>
            <w:r>
              <w:rPr>
                <w:rFonts w:ascii="Arial" w:hAnsi="Arial" w:eastAsia="Arial"/>
                <w:b/>
                <w:color w:val="B46A3C"/>
                <w:sz w:val="19"/>
              </w:rPr>
              <w:t xml:space="preserve">Ключевая формулировка: </w:t>
            </w:r>
            <w:r>
              <w:rPr>
                <w:rFonts w:ascii="Arial" w:hAnsi="Arial" w:eastAsia="Arial"/>
                <w:color w:val="111827"/>
                <w:sz w:val="19"/>
              </w:rPr>
              <w:t>собрать управленческий контур, в котором видны потери, владельцы и решения.</w:t>
            </w:r>
          </w:p>
        </w:tc>
      </w:tr>
    </w:tbl>
    <w:p/>
    <w:p>
      <w:pPr>
        <w:spacing w:before="260" w:after="120" w:line="252" w:lineRule="auto"/>
      </w:pPr>
      <w:r>
        <w:rPr>
          <w:rFonts w:ascii="Arial" w:hAnsi="Arial" w:eastAsia="Arial"/>
          <w:b/>
          <w:color w:val="0B1F33"/>
          <w:sz w:val="31"/>
        </w:rPr>
        <w:t>7. Логика цены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Ценовая логика строится не от часов консультанта, а от управленческой цены ошибки.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Что влияет на цену: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количество каналов и товарных позиций;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полнота данных;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число участников со стороны клиента;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глубина расчёта P&amp;L / прибыль и убытки по SKU x канал;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необходимость панелей, таблиц и сценариев;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длительность сопровождения.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Запрещено: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продавать “пробную бесплатную диагностику” как замену продукта;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обещать процент роста маржи до диагностики;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делать отраслевые версии технологии вместо единой цепочки.</w:t>
      </w:r>
    </w:p>
    <w:p>
      <w:pPr>
        <w:spacing w:before="260" w:after="120" w:line="252" w:lineRule="auto"/>
      </w:pPr>
      <w:r>
        <w:rPr>
          <w:rFonts w:ascii="Arial" w:hAnsi="Arial" w:eastAsia="Arial"/>
          <w:b/>
          <w:color w:val="0B1F33"/>
          <w:sz w:val="31"/>
        </w:rPr>
        <w:t>8. Альтернативы и границы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3134"/>
        <w:gridCol w:w="2712"/>
        <w:gridCol w:w="3514"/>
      </w:tblGrid>
      <w:tr>
        <w:trPr>
          <w:tblHeader w:val="true"/>
        </w:trPr>
        <w:tc>
          <w:tcPr>
            <w:tcW w:type="dxa" w:w="3134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Альтернатива</w:t>
            </w:r>
          </w:p>
        </w:tc>
        <w:tc>
          <w:tcPr>
            <w:tcW w:type="dxa" w:w="2712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Где полезна</w:t>
            </w:r>
          </w:p>
        </w:tc>
        <w:tc>
          <w:tcPr>
            <w:tcW w:type="dxa" w:w="3514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Где ограничена для этой задачи</w:t>
            </w:r>
          </w:p>
        </w:tc>
      </w:tr>
      <w:tr>
        <w:tc>
          <w:tcPr>
            <w:tcW w:type="dxa" w:w="3134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Нанять аналитика</w:t>
            </w:r>
          </w:p>
        </w:tc>
        <w:tc>
          <w:tcPr>
            <w:tcW w:type="dxa" w:w="2712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усилить расчёты</w:t>
            </w:r>
          </w:p>
        </w:tc>
        <w:tc>
          <w:tcPr>
            <w:tcW w:type="dxa" w:w="3514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аналитик не всегда меняет управленческие решения</w:t>
            </w:r>
          </w:p>
        </w:tc>
      </w:tr>
      <w:tr>
        <w:tc>
          <w:tcPr>
            <w:tcW w:type="dxa" w:w="3134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Построить панель</w:t>
            </w:r>
          </w:p>
        </w:tc>
        <w:tc>
          <w:tcPr>
            <w:tcW w:type="dxa" w:w="2712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видеть показатели</w:t>
            </w:r>
          </w:p>
        </w:tc>
        <w:tc>
          <w:tcPr>
            <w:tcW w:type="dxa" w:w="3514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панель без RACI / матрица ответственности и решений становится отчётом</w:t>
            </w:r>
          </w:p>
        </w:tc>
      </w:tr>
      <w:tr>
        <w:tc>
          <w:tcPr>
            <w:tcW w:type="dxa" w:w="3134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Отдать маркетплейсы агентству</w:t>
            </w:r>
          </w:p>
        </w:tc>
        <w:tc>
          <w:tcPr>
            <w:tcW w:type="dxa" w:w="2712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вести канал</w:t>
            </w:r>
          </w:p>
        </w:tc>
        <w:tc>
          <w:tcPr>
            <w:tcW w:type="dxa" w:w="3514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агентство может растить продажи без полной маржи</w:t>
            </w:r>
          </w:p>
        </w:tc>
      </w:tr>
      <w:tr>
        <w:tc>
          <w:tcPr>
            <w:tcW w:type="dxa" w:w="3134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Провести стратегическую сессию</w:t>
            </w:r>
          </w:p>
        </w:tc>
        <w:tc>
          <w:tcPr>
            <w:tcW w:type="dxa" w:w="2712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согласовать направление</w:t>
            </w:r>
          </w:p>
        </w:tc>
        <w:tc>
          <w:tcPr>
            <w:tcW w:type="dxa" w:w="3514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без диагностики SKU x канал решения будут общими</w:t>
            </w:r>
          </w:p>
        </w:tc>
      </w:tr>
      <w:tr>
        <w:tc>
          <w:tcPr>
            <w:tcW w:type="dxa" w:w="3134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Сделать самим</w:t>
            </w:r>
          </w:p>
        </w:tc>
        <w:tc>
          <w:tcPr>
            <w:tcW w:type="dxa" w:w="2712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сохранить контроль внутри</w:t>
            </w:r>
          </w:p>
        </w:tc>
        <w:tc>
          <w:tcPr>
            <w:tcW w:type="dxa" w:w="3514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операционка часто съедает ритм и жёсткость решений</w:t>
            </w:r>
          </w:p>
        </w:tc>
      </w:tr>
      <w:tr>
        <w:tc>
          <w:tcPr>
            <w:tcW w:type="dxa" w:w="3134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Ничего не делать</w:t>
            </w:r>
          </w:p>
        </w:tc>
        <w:tc>
          <w:tcPr>
            <w:tcW w:type="dxa" w:w="2712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не тратить ресурс сейчас</w:t>
            </w:r>
          </w:p>
        </w:tc>
        <w:tc>
          <w:tcPr>
            <w:tcW w:type="dxa" w:w="3514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продажи могут расти, а прибыль продолжит утекать</w:t>
            </w:r>
          </w:p>
        </w:tc>
      </w:tr>
    </w:tbl>
    <w:p/>
    <w:p>
      <w:pPr>
        <w:spacing w:before="260" w:after="120" w:line="252" w:lineRule="auto"/>
      </w:pPr>
      <w:r>
        <w:rPr>
          <w:rFonts w:ascii="Arial" w:hAnsi="Arial" w:eastAsia="Arial"/>
          <w:b/>
          <w:color w:val="0B1F33"/>
          <w:sz w:val="31"/>
        </w:rPr>
        <w:t>9. Коммерческая упаковка линейки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Базовая последовательность: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1. </w:t>
      </w:r>
      <w:r>
        <w:rPr>
          <w:rFonts w:ascii="Arial" w:hAnsi="Arial" w:eastAsia="Arial"/>
          <w:color w:val="111827"/>
          <w:sz w:val="18"/>
        </w:rPr>
        <w:t>Диагностика Контура Маржи.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1. </w:t>
      </w:r>
      <w:r>
        <w:rPr>
          <w:rFonts w:ascii="Arial" w:hAnsi="Arial" w:eastAsia="Arial"/>
          <w:color w:val="111827"/>
          <w:sz w:val="18"/>
        </w:rPr>
        <w:t>Сессия Контура Маржи.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1. </w:t>
      </w:r>
      <w:r>
        <w:rPr>
          <w:rFonts w:ascii="Arial" w:hAnsi="Arial" w:eastAsia="Arial"/>
          <w:color w:val="111827"/>
          <w:sz w:val="18"/>
        </w:rPr>
        <w:t>Спринт Контура Маржи.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1. </w:t>
      </w:r>
      <w:r>
        <w:rPr>
          <w:rFonts w:ascii="Arial" w:hAnsi="Arial" w:eastAsia="Arial"/>
          <w:color w:val="111827"/>
          <w:sz w:val="18"/>
        </w:rPr>
        <w:t>Сопровождение Контура Маржи.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Правило продажи: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F8F3EA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40" w:line="257" w:lineRule="auto"/>
            </w:pPr>
            <w:r>
              <w:rPr>
                <w:rFonts w:ascii="Arial" w:hAnsi="Arial" w:eastAsia="Arial"/>
                <w:b/>
                <w:color w:val="B46A3C"/>
                <w:sz w:val="19"/>
              </w:rPr>
              <w:t xml:space="preserve">Ключевая формулировка: </w:t>
            </w:r>
            <w:r>
              <w:rPr>
                <w:rFonts w:ascii="Arial" w:hAnsi="Arial" w:eastAsia="Arial"/>
                <w:color w:val="111827"/>
                <w:sz w:val="19"/>
              </w:rPr>
              <w:t>не продавать спринт без диагностики и сессии, если у клиента нет готовой карты потерь и решений.</w:t>
            </w:r>
          </w:p>
        </w:tc>
      </w:tr>
    </w:tbl>
    <w:p/>
    <w:p>
      <w:pPr>
        <w:spacing w:before="260" w:after="120" w:line="252" w:lineRule="auto"/>
      </w:pPr>
      <w:r>
        <w:rPr>
          <w:rFonts w:ascii="Arial" w:hAnsi="Arial" w:eastAsia="Arial"/>
          <w:b/>
          <w:color w:val="0B1F33"/>
          <w:sz w:val="31"/>
        </w:rPr>
        <w:t>10. Проверка честности оффера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Вопрос</w:t>
            </w:r>
          </w:p>
        </w:tc>
        <w:tc>
          <w:tcPr>
            <w:tcW w:type="dxa" w:w="4680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Требование</w:t>
            </w:r>
          </w:p>
        </w:tc>
      </w:tr>
      <w:tr>
        <w:tc>
          <w:tcPr>
            <w:tcW w:type="dxa" w:w="468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Обещаем ли мы рост маржи?</w:t>
            </w:r>
          </w:p>
        </w:tc>
        <w:tc>
          <w:tcPr>
            <w:tcW w:type="dxa" w:w="468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нет, до диагностики обещаем видимость потерь и контур решений</w:t>
            </w:r>
          </w:p>
        </w:tc>
      </w:tr>
      <w:tr>
        <w:tc>
          <w:tcPr>
            <w:tcW w:type="dxa" w:w="4680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Обещаем ли мы готовую IT-систему?</w:t>
            </w:r>
          </w:p>
        </w:tc>
        <w:tc>
          <w:tcPr>
            <w:tcW w:type="dxa" w:w="4680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нет, стартуем с лёгкого управленческого контура</w:t>
            </w:r>
          </w:p>
        </w:tc>
      </w:tr>
      <w:tr>
        <w:tc>
          <w:tcPr>
            <w:tcW w:type="dxa" w:w="468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Обещаем ли мы реальные кейсы?</w:t>
            </w:r>
          </w:p>
        </w:tc>
        <w:tc>
          <w:tcPr>
            <w:tcW w:type="dxa" w:w="468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нет, пока есть только будущие реальные или модельные кейсы с маркировкой</w:t>
            </w:r>
          </w:p>
        </w:tc>
      </w:tr>
      <w:tr>
        <w:tc>
          <w:tcPr>
            <w:tcW w:type="dxa" w:w="4680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Используем ли чужие допматериалы напрямую?</w:t>
            </w:r>
          </w:p>
        </w:tc>
        <w:tc>
          <w:tcPr>
            <w:tcW w:type="dxa" w:w="4680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нет, только как методологическую опору</w:t>
            </w:r>
          </w:p>
        </w:tc>
      </w:tr>
      <w:tr>
        <w:tc>
          <w:tcPr>
            <w:tcW w:type="dxa" w:w="468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Есть ли четыре платных продукта?</w:t>
            </w:r>
          </w:p>
        </w:tc>
        <w:tc>
          <w:tcPr>
            <w:tcW w:type="dxa" w:w="468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да: Диагностика, Сессия, Спринт, Сопровождение</w:t>
            </w:r>
          </w:p>
        </w:tc>
      </w:tr>
    </w:tbl>
    <w:p/>
    <w:p>
      <w:pPr>
        <w:spacing w:before="260" w:after="120" w:line="252" w:lineRule="auto"/>
      </w:pPr>
      <w:r>
        <w:rPr>
          <w:rFonts w:ascii="Arial" w:hAnsi="Arial" w:eastAsia="Arial"/>
          <w:b/>
          <w:color w:val="0B1F33"/>
          <w:sz w:val="31"/>
        </w:rPr>
        <w:t>11. Сверка режимов и роли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Архитектор систем: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оффер связан с четырьмя продуктами и не создаёт новых сущностей.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Критик конструкций: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снят риск необоснованных гарантий: обещаем контур решений, а не универсальный процент роста.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Факт-контролёр: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коммерческие обещания отделены от проверяемых фактов и будущих кейсов.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Методолог: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оффер продаёт воспроизводимую цепочку, а не разовую консультацию.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Директор по стратегическому маркетингу: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сильнейшая позиция: “не отчёт и не панель, а контур управленческих решений по ассортиментной прибыли”.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07" w:left="1020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Arial" w:hAnsi="Arial" w:eastAsia="Arial"/>
        <w:color w:val="475569"/>
        <w:sz w:val="16"/>
      </w:rPr>
      <w:t>технология управления ассортиментной прибылью в омниканальных продажах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  <w:jc w:val="right"/>
    </w:pPr>
    <w:r>
      <w:rPr>
        <w:rFonts w:ascii="Arial" w:hAnsi="Arial" w:eastAsia="Arial"/>
        <w:b/>
        <w:color w:val="475569"/>
        <w:sz w:val="16"/>
      </w:rPr>
      <w:t>C-Level Insight | Контур Маржи | 18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 w:eastAsia="Arial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52" w:lineRule="auto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52" w:lineRule="auto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 w:line="252" w:lineRule="auto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