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Короткое коммерческое предложение / КП по Диагностике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Короткий документ для отправки после квалификации, когда клиенту нужно быстро понять цену, срок, состав работ и границы обещаний Диагностики.</w:t>
            </w:r>
          </w:p>
        </w:tc>
      </w:tr>
    </w:tbl>
    <w:p>
      <w:pPr>
        <w:spacing w:after="20"/>
      </w:pPr>
    </w:p>
    <w:p>
      <w:pPr>
        <w:pStyle w:val="Heading1"/>
      </w:pPr>
      <w:r>
        <w:t>1. Предмет предложения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Предлагаем. </w:t>
            </w:r>
            <w:r>
              <w:rPr>
                <w:rFonts w:ascii="Arial" w:hAnsi="Arial"/>
                <w:color w:val="212730"/>
                <w:sz w:val="19"/>
              </w:rPr>
              <w:t>Провести Диагностику Контура Маржи: собрать карту данных, увидеть красные зоны SKU / товарная позиция x канал, оценить 12 метрик и дать контрольный вердикт / gate-вердикт.</w:t>
            </w:r>
          </w:p>
        </w:tc>
      </w:tr>
    </w:tbl>
    <w:p>
      <w:pPr>
        <w:spacing w:after="20"/>
      </w:pPr>
    </w:p>
    <w:p>
      <w:pPr>
        <w:pStyle w:val="Heading1"/>
      </w:pPr>
      <w:r>
        <w:t>2. Результат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72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Артефакт</w:t>
            </w:r>
          </w:p>
        </w:tc>
        <w:tc>
          <w:tcPr>
            <w:tcW w:type="dxa" w:w="6520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Что дает руководителю</w:t>
            </w:r>
          </w:p>
        </w:tc>
      </w:tr>
      <w:tr>
        <w:tc>
          <w:tcPr>
            <w:tcW w:type="dxa" w:w="272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карта данных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понятно, какие данные пригодны для решений</w:t>
            </w:r>
          </w:p>
        </w:tc>
      </w:tr>
      <w:tr>
        <w:tc>
          <w:tcPr>
            <w:tcW w:type="dxa" w:w="272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карта потерь P0-P3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видно, где цена ошибки может быть выше</w:t>
            </w:r>
          </w:p>
        </w:tc>
      </w:tr>
      <w:tr>
        <w:tc>
          <w:tcPr>
            <w:tcW w:type="dxa" w:w="272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12 метрик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единая логика проверки ассортимента, каналов, цены, запаса и комиссий</w:t>
            </w:r>
          </w:p>
        </w:tc>
      </w:tr>
      <w:tr>
        <w:tc>
          <w:tcPr>
            <w:tcW w:type="dxa" w:w="272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список красных зон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что вынести на Сессию, паузу или стоп</w:t>
            </w:r>
          </w:p>
        </w:tc>
      </w:tr>
      <w:tr>
        <w:tc>
          <w:tcPr>
            <w:tcW w:type="dxa" w:w="272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контрольный вердикт / gate-вердикт</w:t>
            </w:r>
          </w:p>
        </w:tc>
        <w:tc>
          <w:tcPr>
            <w:tcW w:type="dxa" w:w="652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Сессия, пауза, стоп или сбор данных</w:t>
            </w:r>
          </w:p>
        </w:tc>
      </w:tr>
    </w:tbl>
    <w:p>
      <w:pPr>
        <w:pStyle w:val="Heading1"/>
      </w:pPr>
      <w:r>
        <w:t>3. Срок и цена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Параметр</w:t>
            </w:r>
          </w:p>
        </w:tc>
        <w:tc>
          <w:tcPr>
            <w:tcW w:type="dxa" w:w="6973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Рамка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Срок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7-12 рабочих дней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Цена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450 000 - 850 000 руб.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Нужно от клиента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данные, владелец данных, доступ к участникам решений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Следующий этап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Сессия только при подтвержденной проблеме, сводимых данных и владельцах решений</w:t>
            </w:r>
          </w:p>
        </w:tc>
      </w:tr>
    </w:tbl>
    <w:p>
      <w:pPr>
        <w:pStyle w:val="Heading1"/>
      </w:pPr>
      <w:r>
        <w:t>4. Что не обещается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обещается рост прибыли до данных и внедрения;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обещается автоматический переход к Сессии;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обещается полноценное IT / информационно-технологическое внедрение;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используются модельные кейсы как реальные внедрения.</w:t>
      </w:r>
    </w:p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