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9"/>
          <w:sz w:val="48"/>
        </w:rPr>
        <w:t>Контур Маржи</w:t>
      </w:r>
    </w:p>
    <w:p>
      <w:r>
        <w:rPr>
          <w:rFonts w:ascii="Arial" w:hAnsi="Arial"/>
          <w:b/>
          <w:color w:val="212730"/>
          <w:sz w:val="27"/>
        </w:rPr>
        <w:t>Маршрут чтения клиента v2.0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9F5E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b/>
                <w:color w:val="1F4E79"/>
                <w:sz w:val="19"/>
              </w:rPr>
              <w:t xml:space="preserve">Назначение. </w:t>
            </w:r>
            <w:r>
              <w:rPr>
                <w:rFonts w:ascii="Arial" w:hAnsi="Arial"/>
                <w:color w:val="212730"/>
                <w:sz w:val="19"/>
              </w:rPr>
              <w:t>Документ показывает, что читать клиенту до Диагностики, после Диагностики, перед Сессией и после Спринта, чтобы не перегружать его полным комплектом.</w:t>
            </w:r>
          </w:p>
        </w:tc>
      </w:tr>
    </w:tbl>
    <w:p>
      <w:pPr>
        <w:spacing w:after="20"/>
      </w:pPr>
    </w:p>
    <w:p>
      <w:pPr>
        <w:pStyle w:val="Heading1"/>
      </w:pPr>
      <w:r>
        <w:t>1. Короткий маршрут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43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Момент</w:t>
            </w:r>
          </w:p>
        </w:tc>
        <w:tc>
          <w:tcPr>
            <w:tcW w:type="dxa" w:w="3231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Что дать клиенту</w:t>
            </w:r>
          </w:p>
        </w:tc>
        <w:tc>
          <w:tcPr>
            <w:tcW w:type="dxa" w:w="3572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Зачем</w:t>
            </w:r>
          </w:p>
        </w:tc>
      </w:tr>
      <w:tr>
        <w:tc>
          <w:tcPr>
            <w:tcW w:type="dxa" w:w="243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до первого разговора</w:t>
            </w:r>
          </w:p>
        </w:tc>
        <w:tc>
          <w:tcPr>
            <w:tcW w:type="dxa" w:w="323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клиентская схема ядра</w:t>
            </w:r>
          </w:p>
        </w:tc>
        <w:tc>
          <w:tcPr>
            <w:tcW w:type="dxa" w:w="357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быстро объяснить, что технология не является панелью или аудитом маркетплейсов</w:t>
            </w:r>
          </w:p>
        </w:tc>
      </w:tr>
      <w:tr>
        <w:tc>
          <w:tcPr>
            <w:tcW w:type="dxa" w:w="243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после квалификации</w:t>
            </w:r>
          </w:p>
        </w:tc>
        <w:tc>
          <w:tcPr>
            <w:tcW w:type="dxa" w:w="323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клиентский лист платного входа Диагностики</w:t>
            </w:r>
          </w:p>
        </w:tc>
        <w:tc>
          <w:tcPr>
            <w:tcW w:type="dxa" w:w="357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объяснить цену, срок, данные и результат платного входа</w:t>
            </w:r>
          </w:p>
        </w:tc>
      </w:tr>
      <w:tr>
        <w:tc>
          <w:tcPr>
            <w:tcW w:type="dxa" w:w="243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после Диагностики</w:t>
            </w:r>
          </w:p>
        </w:tc>
        <w:tc>
          <w:tcPr>
            <w:tcW w:type="dxa" w:w="323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итоговый отчет Диагностики</w:t>
            </w:r>
          </w:p>
        </w:tc>
        <w:tc>
          <w:tcPr>
            <w:tcW w:type="dxa" w:w="357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показать карту потерь и контрольный вердикт / gate-вердикт</w:t>
            </w:r>
          </w:p>
        </w:tc>
      </w:tr>
      <w:tr>
        <w:tc>
          <w:tcPr>
            <w:tcW w:type="dxa" w:w="243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перед Сессией</w:t>
            </w:r>
          </w:p>
        </w:tc>
        <w:tc>
          <w:tcPr>
            <w:tcW w:type="dxa" w:w="323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паспорт Сессии и список решений</w:t>
            </w:r>
          </w:p>
        </w:tc>
        <w:tc>
          <w:tcPr>
            <w:tcW w:type="dxa" w:w="357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подготовить руководителей к решениям, ролям и порогам</w:t>
            </w:r>
          </w:p>
        </w:tc>
      </w:tr>
      <w:tr>
        <w:tc>
          <w:tcPr>
            <w:tcW w:type="dxa" w:w="243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после Спринта</w:t>
            </w:r>
          </w:p>
        </w:tc>
        <w:tc>
          <w:tcPr>
            <w:tcW w:type="dxa" w:w="323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финальный отчет и маршрут Сопровождения</w:t>
            </w:r>
          </w:p>
        </w:tc>
        <w:tc>
          <w:tcPr>
            <w:tcW w:type="dxa" w:w="357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зафиксировать, что удерживать, масштабировать или остановить</w:t>
            </w:r>
          </w:p>
        </w:tc>
      </w:tr>
    </w:tbl>
    <w:p>
      <w:pPr>
        <w:pStyle w:val="Heading1"/>
      </w:pPr>
      <w:r>
        <w:t>2. Что не отправлять без необходимости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8"/>
        </w:rPr>
        <w:t>полный внутренний реестр комплекта;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8"/>
        </w:rPr>
        <w:t>маршрут консультанта по четырем продуктам;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8"/>
        </w:rPr>
        <w:t>матрицу доказательности и правила коммерческих утверждений;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8"/>
        </w:rPr>
        <w:t>рабочие книги до согласования продукта и состава данных;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8"/>
        </w:rPr>
        <w:t>все 12 кейсов сразу вместо 1-2 релевантных модельных кейсов.</w:t>
      </w:r>
    </w:p>
    <w:p>
      <w:pPr>
        <w:pStyle w:val="Heading1"/>
      </w:pPr>
      <w:r>
        <w:t>3. Правило выбора кейсов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4D8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b/>
                <w:color w:val="1F4E79"/>
                <w:sz w:val="19"/>
              </w:rPr>
              <w:t xml:space="preserve">Правило. </w:t>
            </w:r>
            <w:r>
              <w:rPr>
                <w:rFonts w:ascii="Arial" w:hAnsi="Arial"/>
                <w:color w:val="212730"/>
                <w:sz w:val="19"/>
              </w:rPr>
              <w:t>На входе в Диагностику показывать только 1-2 модельных кейса под боль клиента. Для выбора использовать навигатор кейсов для Диагностики.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879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127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