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E79"/>
          <w:sz w:val="48"/>
        </w:rPr>
        <w:t>Контур Маржи</w:t>
      </w:r>
    </w:p>
    <w:p>
      <w:pPr>
        <w:spacing w:after="80"/>
      </w:pPr>
      <w:r>
        <w:rPr>
          <w:rFonts w:ascii="Arial" w:hAnsi="Arial"/>
          <w:b/>
          <w:color w:val="212730"/>
          <w:sz w:val="28"/>
        </w:rPr>
        <w:t>Правила коммерческих утверждений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Документ защищает технологию от необоснованных обещаний, смешения факта и гипотезы, а также от восприятия как BI / бизнес-аналитики, P&amp;L / отчета о прибылях и убытках, аудита маркетплейсов или набора электронных таблиц.</w:t>
            </w:r>
          </w:p>
        </w:tc>
      </w:tr>
    </w:tbl>
    <w:p>
      <w:pPr>
        <w:spacing w:after="20"/>
      </w:pPr>
    </w:p>
    <w:p>
      <w:pPr>
        <w:pStyle w:val="Heading1"/>
      </w:pPr>
      <w:r>
        <w:t>1. Главное правило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Правило P1C. </w:t>
            </w:r>
            <w:r>
              <w:rPr>
                <w:rFonts w:ascii="Arial" w:hAnsi="Arial"/>
                <w:color w:val="212730"/>
                <w:sz w:val="19"/>
              </w:rPr>
              <w:t>Любое публичное утверждение должно иметь источник, статус и условие применения. Без этого утверждение не используется в продаже, на сайте, в презентации или в переговорах.</w:t>
            </w:r>
          </w:p>
        </w:tc>
      </w:tr>
    </w:tbl>
    <w:p>
      <w:pPr>
        <w:spacing w:after="20"/>
      </w:pPr>
    </w:p>
    <w:p>
      <w:pPr>
        <w:pStyle w:val="Heading1"/>
      </w:pPr>
      <w:r>
        <w:t>2. Статусы утверждений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5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  <w:tc>
          <w:tcPr>
            <w:tcW w:type="dxa" w:w="289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Можно использовать</w:t>
            </w:r>
          </w:p>
        </w:tc>
        <w:tc>
          <w:tcPr>
            <w:tcW w:type="dxa" w:w="289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Нельзя использовать</w:t>
            </w:r>
          </w:p>
        </w:tc>
        <w:tc>
          <w:tcPr>
            <w:tcW w:type="dxa" w:w="175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Маркировка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факт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Когда положение подтверждено комплектом технологии или данными клиента.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 универсальную гарантию результата для всех компаний.</w:t>
            </w:r>
          </w:p>
        </w:tc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подтверждено документом / данными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гипотеза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 предположение до выгрузки и проверки данных.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 доказанный вывод.</w:t>
            </w:r>
          </w:p>
        </w:tc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гипотеза до Диагностики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модельный расчет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Для обучения, продажи Диагностики и показа логики.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 реальное клиентское внедрение.</w:t>
            </w:r>
          </w:p>
        </w:tc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модельный кейс-пример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неподтвержденное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Не использовать публично.</w:t>
            </w:r>
          </w:p>
        </w:tc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Включать в КП, сайт или переговоры.</w:t>
            </w:r>
          </w:p>
        </w:tc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требует проверки</w:t>
            </w:r>
          </w:p>
        </w:tc>
      </w:tr>
    </w:tbl>
    <w:p>
      <w:pPr>
        <w:pStyle w:val="Heading1"/>
      </w:pPr>
      <w:r>
        <w:t>3. Разрешенные и запрещенные формулировки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Тема</w:t>
            </w:r>
          </w:p>
        </w:tc>
        <w:tc>
          <w:tcPr>
            <w:tcW w:type="dxa" w:w="374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Нельзя говорить</w:t>
            </w:r>
          </w:p>
        </w:tc>
        <w:tc>
          <w:tcPr>
            <w:tcW w:type="dxa" w:w="385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Можно говорить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эффект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Мы увеличим прибыль на заданный процент.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Диагностика покажет, где ассортимент может терять прибыль; эффект зависит от данных, решений и внедрения.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90 дней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 90 дней гарантированно вырастет маржа.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 90 дней можно проверить и внедрить контур решений на согласованном участке при наличии владельцев и данных.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кейсы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 нас был такой клиент, и мы сделали результат.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Это модельный кейс-пример, который показывает типовую ситуацию и логику применения технологии.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рабочие книги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Купите наши таблицы.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Рабочие книги являются инструментами проведения технологии и не продаются отдельно.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панели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Мы сделаем BI / бизнес-аналитику.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Панель может быть артефактом, но продуктом является управленческий контур решений.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закон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Юридически всё чисто.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Юридические и регуляторные блоки требуют отдельного фактчека.</w:t>
            </w:r>
          </w:p>
        </w:tc>
      </w:tr>
    </w:tbl>
    <w:p>
      <w:pPr>
        <w:pStyle w:val="Heading1"/>
      </w:pPr>
      <w:r>
        <w:t>4. Контрольная схема утверждения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2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Шаг</w:t>
            </w:r>
          </w:p>
        </w:tc>
        <w:tc>
          <w:tcPr>
            <w:tcW w:type="dxa" w:w="408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Вопрос</w:t>
            </w:r>
          </w:p>
        </w:tc>
        <w:tc>
          <w:tcPr>
            <w:tcW w:type="dxa" w:w="408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Решение</w:t>
            </w:r>
          </w:p>
        </w:tc>
      </w:tr>
      <w:tr>
        <w:tc>
          <w:tcPr>
            <w:tcW w:type="dxa" w:w="10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Есть источник правды?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Если нет - не использовать.</w:t>
            </w:r>
          </w:p>
        </w:tc>
      </w:tr>
      <w:tr>
        <w:tc>
          <w:tcPr>
            <w:tcW w:type="dxa" w:w="10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Какой статус: факт, гипотеза, модельный расчет, неподтвержденное?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Если статус неясен - отправить в матрицу доказательности.</w:t>
            </w:r>
          </w:p>
        </w:tc>
      </w:tr>
      <w:tr>
        <w:tc>
          <w:tcPr>
            <w:tcW w:type="dxa" w:w="10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Есть условие применения?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Если нет - добавить ограничение или убрать утверждение.</w:t>
            </w:r>
          </w:p>
        </w:tc>
      </w:tr>
      <w:tr>
        <w:tc>
          <w:tcPr>
            <w:tcW w:type="dxa" w:w="10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4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Есть риск обещания финансового эффекта?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Если да - заменить на проверяемую формулировку.</w:t>
            </w:r>
          </w:p>
        </w:tc>
      </w:tr>
      <w:tr>
        <w:tc>
          <w:tcPr>
            <w:tcW w:type="dxa" w:w="10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5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Можно показать кейс?</w:t>
            </w:r>
          </w:p>
        </w:tc>
        <w:tc>
          <w:tcPr>
            <w:tcW w:type="dxa" w:w="408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Только как модельный кейс-пример и только под релевантную боль клиента.</w:t>
            </w:r>
          </w:p>
        </w:tc>
      </w:tr>
    </w:tbl>
    <w:p>
      <w:pPr>
        <w:pStyle w:val="Heading1"/>
      </w:pPr>
      <w:r>
        <w:t>5. Анти-позиционирование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 чем могут спутать</w:t>
            </w:r>
          </w:p>
        </w:tc>
        <w:tc>
          <w:tcPr>
            <w:tcW w:type="dxa" w:w="328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Почему это опасно</w:t>
            </w:r>
          </w:p>
        </w:tc>
        <w:tc>
          <w:tcPr>
            <w:tcW w:type="dxa" w:w="351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Как отстроиться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BI / бизнес-аналитика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 ожидает только панель.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 Маржи строит управленческий ритм решений; панель вторична.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P&amp;L / отчет о прибылях и убытках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 видит только финансовый отчет.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P&amp;L используется как язык расчета, но технология связывает его с SKU / товарной позицией, каналом и владельцем решения.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набор электронных таблиц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Снижает ценность до файлов.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Файлы являются рабочими артефактами проведения, а не продуктом.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Аудит маркетплейсов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Сужает задачу до одного канала.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Маркетплейс может быть каналом анализа, но технология работает шире.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Категорийный менеджмент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Сводит технологию к ассортиментной полке.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 Маржи добавляет финансовый и канальный контур решений по SKU x канал.</w:t>
            </w:r>
          </w:p>
        </w:tc>
      </w:tr>
    </w:tbl>
    <w:p>
      <w:pPr>
        <w:pStyle w:val="Heading1"/>
      </w:pPr>
      <w:r>
        <w:t>6. Что обязан сделать консультант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9"/>
        </w:rPr>
        <w:t>Перед публикацией или продажей сверить утверждение с Контур_Маржи_Матрица_Доказательности_v2.0.xlsx.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9"/>
        </w:rPr>
        <w:t>При первом разговоре использовать Контур_Маржи_Навигатор_Кейсов_Для_Диагностики_v2.0.xlsx и выбирать 1-2 модельных кейса.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9"/>
        </w:rPr>
        <w:t>Не продавать Сессию без результата Диагностики и контрольного вердикта / gate-вердикта.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9"/>
        </w:rPr>
        <w:t>Не обещать рост прибыли до данных, решений, владельцев и права менять параметры.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9"/>
        </w:rPr>
        <w:t>Маркировать каждый кейс как модельный, если он не является реальным внедрением.</w:t>
      </w:r>
    </w:p>
    <w:p>
      <w:pPr>
        <w:pStyle w:val="Heading1"/>
      </w:pPr>
      <w:r>
        <w:t>7. Связанные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Роль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Контур_Маржи_Матрица_Доказательности_v2.0.xlsx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рабочая книга проверки утверждений, статусов, источников и рисков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Контур_Маржи_Навигатор_Кейсов_Для_Диагностики_v2.0.xlsx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подбор модельного кейса под боль клиента на входе в Диагностику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Контур_Маржи_Общие_Продукты_сроки_и_цены_v2.0.docx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единый источник цен и коммерческих условий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Контур_Маржи_Диагностика_Итоговый_Отчет_v2.0.docx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итоговый платный артефакт Диагностики</w:t>
            </w:r>
          </w:p>
        </w:tc>
      </w:tr>
    </w:tbl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127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