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/>
          <w:b/>
          <w:color w:val="1F4E79"/>
          <w:sz w:val="42"/>
        </w:rPr>
        <w:t>Продукты, сроки и цены — Контур Маржи v2.0</w:t>
      </w:r>
    </w:p>
    <w:p>
      <w:r>
        <w:rPr>
          <w:rFonts w:ascii="Arial" w:hAnsi="Arial"/>
          <w:color w:val="666666"/>
          <w:sz w:val="21"/>
        </w:rPr>
        <w:t>Коммерческая упаковка технологии управления ассортиментной прибылью в омниканальных продажах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578"/>
        <w:gridCol w:w="2578"/>
        <w:gridCol w:w="2578"/>
        <w:gridCol w:w="2578"/>
      </w:tblGrid>
      <w:tr>
        <w:trPr>
          <w:tblHeader w:val="true"/>
        </w:trPr>
        <w:tc>
          <w:tcPr>
            <w:tcW w:type="dxa" w:w="1814"/>
            <w:vAlign w:val="center"/>
            <w:shd w:fill="EAF1F8"/>
          </w:tcPr>
          <w:p>
            <w:pPr>
              <w:spacing w:after="20"/>
            </w:pPr>
            <w:r>
              <w:rPr>
                <w:rFonts w:ascii="Arial" w:hAnsi="Arial"/>
                <w:b/>
                <w:color w:val="1F4E79"/>
                <w:sz w:val="16"/>
              </w:rPr>
              <w:t>Статус</w:t>
            </w:r>
          </w:p>
        </w:tc>
        <w:tc>
          <w:tcPr>
            <w:tcW w:type="dxa" w:w="1134"/>
            <w:vAlign w:val="center"/>
            <w:shd w:fill="EAF1F8"/>
          </w:tcPr>
          <w:p>
            <w:pPr>
              <w:spacing w:after="20"/>
            </w:pPr>
            <w:r>
              <w:rPr>
                <w:rFonts w:ascii="Arial" w:hAnsi="Arial"/>
                <w:b/>
                <w:color w:val="1F4E79"/>
                <w:sz w:val="16"/>
              </w:rPr>
              <w:t>Версия</w:t>
            </w:r>
          </w:p>
        </w:tc>
        <w:tc>
          <w:tcPr>
            <w:tcW w:type="dxa" w:w="1701"/>
            <w:vAlign w:val="center"/>
            <w:shd w:fill="EAF1F8"/>
          </w:tcPr>
          <w:p>
            <w:pPr>
              <w:spacing w:after="20"/>
            </w:pPr>
            <w:r>
              <w:rPr>
                <w:rFonts w:ascii="Arial" w:hAnsi="Arial"/>
                <w:b/>
                <w:color w:val="1F4E79"/>
                <w:sz w:val="16"/>
              </w:rPr>
              <w:t>Дата</w:t>
            </w:r>
          </w:p>
        </w:tc>
        <w:tc>
          <w:tcPr>
            <w:tcW w:type="dxa" w:w="4649"/>
            <w:vAlign w:val="center"/>
            <w:shd w:fill="EAF1F8"/>
          </w:tcPr>
          <w:p>
            <w:pPr>
              <w:spacing w:after="20"/>
            </w:pPr>
            <w:r>
              <w:rPr>
                <w:rFonts w:ascii="Arial" w:hAnsi="Arial"/>
                <w:b/>
                <w:color w:val="1F4E79"/>
                <w:sz w:val="16"/>
              </w:rPr>
              <w:t>Аудитория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актуальный документ комплекта</w:t>
            </w:r>
          </w:p>
        </w:tc>
        <w:tc>
          <w:tcPr>
            <w:tcW w:type="dxa" w:w="1134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v2.0</w:t>
            </w:r>
          </w:p>
        </w:tc>
        <w:tc>
          <w:tcPr>
            <w:tcW w:type="dxa" w:w="1701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20 июля 2026</w:t>
            </w:r>
          </w:p>
        </w:tc>
        <w:tc>
          <w:tcPr>
            <w:tcW w:type="dxa" w:w="4649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собственник, генеральный директор, коммерческий директор, финансовый директор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10312"/>
      </w:tblGrid>
      <w:tr>
        <w:trPr>
          <w:tblHeader w:val="true"/>
        </w:trPr>
        <w:tc>
          <w:tcPr>
            <w:tcW w:type="dxa" w:w="10312"/>
            <w:vAlign w:val="center"/>
            <w:shd w:fill="F7F3EA"/>
          </w:tcPr>
          <w:p>
            <w:pPr>
              <w:spacing w:after="20"/>
            </w:pPr>
            <w:r>
              <w:rPr>
                <w:b/>
                <w:color w:val="1F4E79"/>
              </w:rPr>
              <w:t xml:space="preserve">Главная ценовая логика. </w:t>
            </w:r>
            <w:r>
              <w:t>Клиент платит не за консультационные часы и не за набор таблиц. Клиент платит за управляемый контур решений, который показывает, какие товары, каналы, промо, запасы, комиссии и цены создают прибыль, а какие съедают её.</w:t>
            </w:r>
          </w:p>
        </w:tc>
      </w:tr>
    </w:tbl>
    <w:p/>
    <w:p>
      <w:pPr>
        <w:pStyle w:val="Heading1"/>
      </w:pPr>
      <w:r>
        <w:t>1. Что является ценностью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5156"/>
        <w:gridCol w:w="5156"/>
      </w:tblGrid>
      <w:tr>
        <w:trPr>
          <w:tblHeader w:val="true"/>
        </w:trPr>
        <w:tc>
          <w:tcPr>
            <w:tcW w:type="dxa" w:w="2835"/>
            <w:vAlign w:val="center"/>
            <w:shd w:fill="EAF1F8"/>
          </w:tcPr>
          <w:p>
            <w:pPr>
              <w:spacing w:after="20"/>
            </w:pPr>
            <w:r>
              <w:rPr>
                <w:rFonts w:ascii="Arial" w:hAnsi="Arial"/>
                <w:b/>
                <w:color w:val="1F4E79"/>
                <w:sz w:val="16"/>
              </w:rPr>
              <w:t>Клиент платит за</w:t>
            </w:r>
          </w:p>
        </w:tc>
        <w:tc>
          <w:tcPr>
            <w:tcW w:type="dxa" w:w="6236"/>
            <w:vAlign w:val="center"/>
            <w:shd w:fill="EAF1F8"/>
          </w:tcPr>
          <w:p>
            <w:pPr>
              <w:spacing w:after="20"/>
            </w:pPr>
            <w:r>
              <w:rPr>
                <w:rFonts w:ascii="Arial" w:hAnsi="Arial"/>
                <w:b/>
                <w:color w:val="1F4E79"/>
                <w:sz w:val="16"/>
              </w:rPr>
              <w:t>Что это даёт бизнесу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Проверку ассортиментной прибыли</w:t>
            </w:r>
          </w:p>
        </w:tc>
        <w:tc>
          <w:tcPr>
            <w:tcW w:type="dxa" w:w="6236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Компания перестаёт смотреть только на продажи и видит прибыль по товару, каналу и управленческому решению.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Карту потерь</w:t>
            </w:r>
          </w:p>
        </w:tc>
        <w:tc>
          <w:tcPr>
            <w:tcW w:type="dxa" w:w="6236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Понятно, где деньги теряются: в комиссии, промо, запасе, логистике, цене, возвратах или канальном конфликте.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Решение продолжать / остановить</w:t>
            </w:r>
          </w:p>
        </w:tc>
        <w:tc>
          <w:tcPr>
            <w:tcW w:type="dxa" w:w="6236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Диагностика может закончиться движением дальше, паузой или стоп-решением при плохих данных.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Рабочие книги XLSX / электронные таблицы</w:t>
            </w:r>
          </w:p>
        </w:tc>
        <w:tc>
          <w:tcPr>
            <w:tcW w:type="dxa" w:w="6236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Расчёты остаются у клиента как проверяемый инструмент, а не только как текстовый отчёт.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Управленческий ритм</w:t>
            </w:r>
          </w:p>
        </w:tc>
        <w:tc>
          <w:tcPr>
            <w:tcW w:type="dxa" w:w="6236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Решения не исчезают после встречи: появляется владелец, срок, метрика, недельный или месячный контроль.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Снижение цены ошибки</w:t>
            </w:r>
          </w:p>
        </w:tc>
        <w:tc>
          <w:tcPr>
            <w:tcW w:type="dxa" w:w="6236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Компания раньше видит, какие SKU, каналы и промо нельзя масштабировать без потери прибыли.</w:t>
            </w:r>
          </w:p>
        </w:tc>
      </w:tr>
    </w:tbl>
    <w:p/>
    <w:p>
      <w:pPr>
        <w:pStyle w:val="Heading1"/>
      </w:pPr>
      <w:r>
        <w:t>2. Цена ошибки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10312"/>
      </w:tblGrid>
      <w:tr>
        <w:trPr>
          <w:tblHeader w:val="true"/>
        </w:trPr>
        <w:tc>
          <w:tcPr>
            <w:tcW w:type="dxa" w:w="10312"/>
            <w:vAlign w:val="center"/>
            <w:shd w:fill="EAF5EA"/>
          </w:tcPr>
          <w:p>
            <w:pPr>
              <w:spacing w:after="20"/>
            </w:pPr>
            <w:r>
              <w:rPr>
                <w:b/>
                <w:color w:val="1F4E79"/>
              </w:rPr>
              <w:t xml:space="preserve">Формула разговора. </w:t>
            </w:r>
            <w:r>
              <w:t>Цена ошибки = потеря ассортиментной прибыли + лишние скидки + комиссии канала + логистические и складские потери + замороженный запас + возвраты + управленческие решения на неполных данных.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2154"/>
            <w:vAlign w:val="center"/>
            <w:shd w:fill="EAF1F8"/>
          </w:tcPr>
          <w:p>
            <w:pPr>
              <w:spacing w:after="20"/>
            </w:pPr>
            <w:r>
              <w:rPr>
                <w:rFonts w:ascii="Arial" w:hAnsi="Arial"/>
                <w:b/>
                <w:color w:val="1F4E79"/>
                <w:sz w:val="16"/>
              </w:rPr>
              <w:t>Источник ошибки</w:t>
            </w:r>
          </w:p>
        </w:tc>
        <w:tc>
          <w:tcPr>
            <w:tcW w:type="dxa" w:w="3515"/>
            <w:vAlign w:val="center"/>
            <w:shd w:fill="EAF1F8"/>
          </w:tcPr>
          <w:p>
            <w:pPr>
              <w:spacing w:after="20"/>
            </w:pPr>
            <w:r>
              <w:rPr>
                <w:rFonts w:ascii="Arial" w:hAnsi="Arial"/>
                <w:b/>
                <w:color w:val="1F4E79"/>
                <w:sz w:val="16"/>
              </w:rPr>
              <w:t>Как проявляется</w:t>
            </w:r>
          </w:p>
        </w:tc>
        <w:tc>
          <w:tcPr>
            <w:tcW w:type="dxa" w:w="3402"/>
            <w:vAlign w:val="center"/>
            <w:shd w:fill="EAF1F8"/>
          </w:tcPr>
          <w:p>
            <w:pPr>
              <w:spacing w:after="20"/>
            </w:pPr>
            <w:r>
              <w:rPr>
                <w:rFonts w:ascii="Arial" w:hAnsi="Arial"/>
                <w:b/>
                <w:color w:val="1F4E79"/>
                <w:sz w:val="16"/>
              </w:rPr>
              <w:t>Почему это коммерчески важно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Рост продаж без прибыли</w:t>
            </w:r>
          </w:p>
        </w:tc>
        <w:tc>
          <w:tcPr>
            <w:tcW w:type="dxa" w:w="3515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Выручка растёт, но чистый вклад SKU или канала падает.</w:t>
            </w:r>
          </w:p>
        </w:tc>
        <w:tc>
          <w:tcPr>
            <w:tcW w:type="dxa" w:w="3402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Компания масштабирует убыточное поведение.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Промо-ловушка</w:t>
            </w:r>
          </w:p>
        </w:tc>
        <w:tc>
          <w:tcPr>
            <w:tcW w:type="dxa" w:w="3515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Скидка даёт оборот, но съедает вклад после комиссии и логистики.</w:t>
            </w:r>
          </w:p>
        </w:tc>
        <w:tc>
          <w:tcPr>
            <w:tcW w:type="dxa" w:w="3402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Акции становятся способом терять прибыль быстрее.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Канальный конфликт</w:t>
            </w:r>
          </w:p>
        </w:tc>
        <w:tc>
          <w:tcPr>
            <w:tcW w:type="dxa" w:w="3515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Сайт, розница и маркетплейсы начинают конкурировать ценой.</w:t>
            </w:r>
          </w:p>
        </w:tc>
        <w:tc>
          <w:tcPr>
            <w:tcW w:type="dxa" w:w="3402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Канал забирает прибыль у другого канала, не создавая общего эффекта.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Невидимая комиссия</w:t>
            </w:r>
          </w:p>
        </w:tc>
        <w:tc>
          <w:tcPr>
            <w:tcW w:type="dxa" w:w="3515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Комиссии, удержания и штрафы учитываются поздно или разрозненно.</w:t>
            </w:r>
          </w:p>
        </w:tc>
        <w:tc>
          <w:tcPr>
            <w:tcW w:type="dxa" w:w="3402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Решение по ассортименту принимается по неполному P&amp;L / отчёту о прибылях и убытках.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Запас и срок</w:t>
            </w:r>
          </w:p>
        </w:tc>
        <w:tc>
          <w:tcPr>
            <w:tcW w:type="dxa" w:w="3515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Длинный хвост SKU, сезонность, срок годности или остатки меняют экономику.</w:t>
            </w:r>
          </w:p>
        </w:tc>
        <w:tc>
          <w:tcPr>
            <w:tcW w:type="dxa" w:w="3402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Товар кажется прибыльным до учёта времени и склада.</w:t>
            </w:r>
          </w:p>
        </w:tc>
      </w:tr>
    </w:tbl>
    <w:p/>
    <w:p>
      <w:pPr>
        <w:pStyle w:val="Heading1"/>
      </w:pPr>
      <w:r>
        <w:t>3. Продуктовая лестница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062"/>
        <w:gridCol w:w="2062"/>
        <w:gridCol w:w="2062"/>
        <w:gridCol w:w="2062"/>
        <w:gridCol w:w="2062"/>
      </w:tblGrid>
      <w:tr>
        <w:trPr>
          <w:tblHeader w:val="true"/>
        </w:trPr>
        <w:tc>
          <w:tcPr>
            <w:tcW w:type="dxa" w:w="1701"/>
            <w:vAlign w:val="center"/>
            <w:shd w:fill="EAF1F8"/>
          </w:tcPr>
          <w:p>
            <w:pPr>
              <w:spacing w:after="20"/>
            </w:pPr>
            <w:r>
              <w:rPr>
                <w:rFonts w:ascii="Arial" w:hAnsi="Arial"/>
                <w:b/>
                <w:color w:val="1F4E79"/>
                <w:sz w:val="16"/>
              </w:rPr>
              <w:t>Вход</w:t>
            </w:r>
          </w:p>
        </w:tc>
        <w:tc>
          <w:tcPr>
            <w:tcW w:type="dxa" w:w="1928"/>
            <w:vAlign w:val="center"/>
            <w:shd w:fill="EAF1F8"/>
          </w:tcPr>
          <w:p>
            <w:pPr>
              <w:spacing w:after="20"/>
            </w:pPr>
            <w:r>
              <w:rPr>
                <w:rFonts w:ascii="Arial" w:hAnsi="Arial"/>
                <w:b/>
                <w:color w:val="1F4E79"/>
                <w:sz w:val="16"/>
              </w:rPr>
              <w:t>Диагностика</w:t>
            </w:r>
          </w:p>
        </w:tc>
        <w:tc>
          <w:tcPr>
            <w:tcW w:type="dxa" w:w="1701"/>
            <w:vAlign w:val="center"/>
            <w:shd w:fill="EAF1F8"/>
          </w:tcPr>
          <w:p>
            <w:pPr>
              <w:spacing w:after="20"/>
            </w:pPr>
            <w:r>
              <w:rPr>
                <w:rFonts w:ascii="Arial" w:hAnsi="Arial"/>
                <w:b/>
                <w:color w:val="1F4E79"/>
                <w:sz w:val="16"/>
              </w:rPr>
              <w:t>Сессия</w:t>
            </w:r>
          </w:p>
        </w:tc>
        <w:tc>
          <w:tcPr>
            <w:tcW w:type="dxa" w:w="1814"/>
            <w:vAlign w:val="center"/>
            <w:shd w:fill="EAF1F8"/>
          </w:tcPr>
          <w:p>
            <w:pPr>
              <w:spacing w:after="20"/>
            </w:pPr>
            <w:r>
              <w:rPr>
                <w:rFonts w:ascii="Arial" w:hAnsi="Arial"/>
                <w:b/>
                <w:color w:val="1F4E79"/>
                <w:sz w:val="16"/>
              </w:rPr>
              <w:t>Спринт</w:t>
            </w:r>
          </w:p>
        </w:tc>
        <w:tc>
          <w:tcPr>
            <w:tcW w:type="dxa" w:w="1928"/>
            <w:vAlign w:val="center"/>
            <w:shd w:fill="EAF1F8"/>
          </w:tcPr>
          <w:p>
            <w:pPr>
              <w:spacing w:after="20"/>
            </w:pPr>
            <w:r>
              <w:rPr>
                <w:rFonts w:ascii="Arial" w:hAnsi="Arial"/>
                <w:b/>
                <w:color w:val="1F4E79"/>
                <w:sz w:val="16"/>
              </w:rPr>
              <w:t>Сопровождение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первый разговор</w:t>
            </w:r>
          </w:p>
        </w:tc>
        <w:tc>
          <w:tcPr>
            <w:tcW w:type="dxa" w:w="1928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карта потерь и вердикт</w:t>
            </w:r>
          </w:p>
        </w:tc>
        <w:tc>
          <w:tcPr>
            <w:tcW w:type="dxa" w:w="1701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решения и роли</w:t>
            </w:r>
          </w:p>
        </w:tc>
        <w:tc>
          <w:tcPr>
            <w:tcW w:type="dxa" w:w="1814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внедрение 90 дней</w:t>
            </w:r>
          </w:p>
        </w:tc>
        <w:tc>
          <w:tcPr>
            <w:tcW w:type="dxa" w:w="1928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удержание контура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10312"/>
      </w:tblGrid>
      <w:tr>
        <w:trPr>
          <w:tblHeader w:val="true"/>
        </w:trPr>
        <w:tc>
          <w:tcPr>
            <w:tcW w:type="dxa" w:w="10312"/>
            <w:vAlign w:val="center"/>
            <w:shd w:fill="FCEAEA"/>
          </w:tcPr>
          <w:p>
            <w:pPr>
              <w:spacing w:after="20"/>
            </w:pPr>
            <w:r>
              <w:rPr>
                <w:b/>
                <w:color w:val="1F4E79"/>
              </w:rPr>
              <w:t xml:space="preserve">Базовое правило. </w:t>
            </w:r>
            <w:r>
              <w:t>Все четыре продукта платные и применяются последовательно. Сессия не продаётся автоматически: если диагностика показывает несводимые данные или отсутствие управленческой цены ошибки, проект останавливается или возвращается на подготовку.</w:t>
            </w:r>
          </w:p>
        </w:tc>
      </w:tr>
    </w:tbl>
    <w:p/>
    <w:p>
      <w:pPr>
        <w:pStyle w:val="Heading1"/>
      </w:pPr>
      <w:r>
        <w:t>4. Продукты, сроки и цены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062"/>
        <w:gridCol w:w="2062"/>
        <w:gridCol w:w="2062"/>
        <w:gridCol w:w="2062"/>
        <w:gridCol w:w="2062"/>
      </w:tblGrid>
      <w:tr>
        <w:trPr>
          <w:tblHeader w:val="true"/>
        </w:trPr>
        <w:tc>
          <w:tcPr>
            <w:tcW w:type="dxa" w:w="1871"/>
            <w:vAlign w:val="center"/>
            <w:shd w:fill="EAF1F8"/>
          </w:tcPr>
          <w:p>
            <w:pPr>
              <w:spacing w:after="20"/>
            </w:pPr>
            <w:r>
              <w:rPr>
                <w:rFonts w:ascii="Arial" w:hAnsi="Arial"/>
                <w:b/>
                <w:color w:val="1F4E79"/>
                <w:sz w:val="16"/>
              </w:rPr>
              <w:t>Продукт</w:t>
            </w:r>
          </w:p>
        </w:tc>
        <w:tc>
          <w:tcPr>
            <w:tcW w:type="dxa" w:w="2551"/>
            <w:vAlign w:val="center"/>
            <w:shd w:fill="EAF1F8"/>
          </w:tcPr>
          <w:p>
            <w:pPr>
              <w:spacing w:after="20"/>
            </w:pPr>
            <w:r>
              <w:rPr>
                <w:rFonts w:ascii="Arial" w:hAnsi="Arial"/>
                <w:b/>
                <w:color w:val="1F4E79"/>
                <w:sz w:val="16"/>
              </w:rPr>
              <w:t>Когда нужен</w:t>
            </w:r>
          </w:p>
        </w:tc>
        <w:tc>
          <w:tcPr>
            <w:tcW w:type="dxa" w:w="2891"/>
            <w:vAlign w:val="center"/>
            <w:shd w:fill="EAF1F8"/>
          </w:tcPr>
          <w:p>
            <w:pPr>
              <w:spacing w:after="20"/>
            </w:pPr>
            <w:r>
              <w:rPr>
                <w:rFonts w:ascii="Arial" w:hAnsi="Arial"/>
                <w:b/>
                <w:color w:val="1F4E79"/>
                <w:sz w:val="16"/>
              </w:rPr>
              <w:t>Что получает клиент</w:t>
            </w:r>
          </w:p>
        </w:tc>
        <w:tc>
          <w:tcPr>
            <w:tcW w:type="dxa" w:w="1191"/>
            <w:vAlign w:val="center"/>
            <w:shd w:fill="EAF1F8"/>
          </w:tcPr>
          <w:p>
            <w:pPr>
              <w:spacing w:after="20"/>
            </w:pPr>
            <w:r>
              <w:rPr>
                <w:rFonts w:ascii="Arial" w:hAnsi="Arial"/>
                <w:b/>
                <w:color w:val="1F4E79"/>
                <w:sz w:val="16"/>
              </w:rPr>
              <w:t>Срок</w:t>
            </w:r>
          </w:p>
        </w:tc>
        <w:tc>
          <w:tcPr>
            <w:tcW w:type="dxa" w:w="1587"/>
            <w:vAlign w:val="center"/>
            <w:shd w:fill="EAF1F8"/>
          </w:tcPr>
          <w:p>
            <w:pPr>
              <w:spacing w:after="20"/>
            </w:pPr>
            <w:r>
              <w:rPr>
                <w:rFonts w:ascii="Arial" w:hAnsi="Arial"/>
                <w:b/>
                <w:color w:val="1F4E79"/>
                <w:sz w:val="16"/>
              </w:rPr>
              <w:t>Цена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Диагностика Контура Маржи</w:t>
            </w:r>
          </w:p>
        </w:tc>
        <w:tc>
          <w:tcPr>
            <w:tcW w:type="dxa" w:w="2551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Есть рост продаж, широкий ассортимент, несколько каналов или риск канального конфликта, но неясно, где исчезает прибыль.</w:t>
            </w:r>
          </w:p>
        </w:tc>
        <w:tc>
          <w:tcPr>
            <w:tcW w:type="dxa" w:w="2891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Карта данных, карта потерь, 12 метрик, список красных SKU и каналов, вердикт: идти дальше, пауза или стоп-решение.</w:t>
            </w:r>
          </w:p>
        </w:tc>
        <w:tc>
          <w:tcPr>
            <w:tcW w:type="dxa" w:w="1191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7-12 рабочих дней</w:t>
            </w:r>
          </w:p>
        </w:tc>
        <w:tc>
          <w:tcPr>
            <w:tcW w:type="dxa" w:w="1587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450 000 - 850 000 руб.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Сессия Контура Маржи</w:t>
            </w:r>
          </w:p>
        </w:tc>
        <w:tc>
          <w:tcPr>
            <w:tcW w:type="dxa" w:w="2551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Диагностика подтвердила проблему, нужны управленческие решения и владельцы.</w:t>
            </w:r>
          </w:p>
        </w:tc>
        <w:tc>
          <w:tcPr>
            <w:tcW w:type="dxa" w:w="2891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Матрица решений, роли, пороги, правила по SKU, каналам, промо, цене, запасу и комиссии.</w:t>
            </w:r>
          </w:p>
        </w:tc>
        <w:tc>
          <w:tcPr>
            <w:tcW w:type="dxa" w:w="1191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1 день + подготовка</w:t>
            </w:r>
          </w:p>
        </w:tc>
        <w:tc>
          <w:tcPr>
            <w:tcW w:type="dxa" w:w="1587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850 000 - 1 600 000 руб.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Спринт Контура Маржи</w:t>
            </w:r>
          </w:p>
        </w:tc>
        <w:tc>
          <w:tcPr>
            <w:tcW w:type="dxa" w:w="2551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Решения приняты, их надо проверить на ограниченном контуре и не дать им раствориться.</w:t>
            </w:r>
          </w:p>
        </w:tc>
        <w:tc>
          <w:tcPr>
            <w:tcW w:type="dxa" w:w="2891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План 90 дней, недельные отчёты, журнал решений, контроль риска, финальный управленческий вывод.</w:t>
            </w:r>
          </w:p>
        </w:tc>
        <w:tc>
          <w:tcPr>
            <w:tcW w:type="dxa" w:w="1191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8-12 недель</w:t>
            </w:r>
          </w:p>
        </w:tc>
        <w:tc>
          <w:tcPr>
            <w:tcW w:type="dxa" w:w="1587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2 400 000 - 4 800 000 руб.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Сопровождение Контура Маржи</w:t>
            </w:r>
          </w:p>
        </w:tc>
        <w:tc>
          <w:tcPr>
            <w:tcW w:type="dxa" w:w="2551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Нужно удержать контур после спринта, масштабировать правила и контролировать откат.</w:t>
            </w:r>
          </w:p>
        </w:tc>
        <w:tc>
          <w:tcPr>
            <w:tcW w:type="dxa" w:w="2891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2-4 касания в месяц, реестр эффекта, журнал исключений, корректировки, квартальная ревизия.</w:t>
            </w:r>
          </w:p>
        </w:tc>
        <w:tc>
          <w:tcPr>
            <w:tcW w:type="dxa" w:w="1191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от 3 месяцев</w:t>
            </w:r>
          </w:p>
        </w:tc>
        <w:tc>
          <w:tcPr>
            <w:tcW w:type="dxa" w:w="1587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900 000 - 2 000 000 руб. / мес.</w:t>
            </w:r>
          </w:p>
        </w:tc>
      </w:tr>
    </w:tbl>
    <w:p/>
    <w:p>
      <w:pPr>
        <w:pStyle w:val="Heading1"/>
      </w:pPr>
      <w:r>
        <w:t>5. Публичная ценовая подача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1928"/>
            <w:vAlign w:val="center"/>
            <w:shd w:fill="EAF1F8"/>
          </w:tcPr>
          <w:p>
            <w:pPr>
              <w:spacing w:after="20"/>
            </w:pPr>
            <w:r>
              <w:rPr>
                <w:rFonts w:ascii="Arial" w:hAnsi="Arial"/>
                <w:b/>
                <w:color w:val="1F4E79"/>
                <w:sz w:val="16"/>
              </w:rPr>
              <w:t>Формат</w:t>
            </w:r>
          </w:p>
        </w:tc>
        <w:tc>
          <w:tcPr>
            <w:tcW w:type="dxa" w:w="1871"/>
            <w:vAlign w:val="center"/>
            <w:shd w:fill="EAF1F8"/>
          </w:tcPr>
          <w:p>
            <w:pPr>
              <w:spacing w:after="20"/>
            </w:pPr>
            <w:r>
              <w:rPr>
                <w:rFonts w:ascii="Arial" w:hAnsi="Arial"/>
                <w:b/>
                <w:color w:val="1F4E79"/>
                <w:sz w:val="16"/>
              </w:rPr>
              <w:t>Публично</w:t>
            </w:r>
          </w:p>
        </w:tc>
        <w:tc>
          <w:tcPr>
            <w:tcW w:type="dxa" w:w="5272"/>
            <w:vAlign w:val="center"/>
            <w:shd w:fill="EAF1F8"/>
          </w:tcPr>
          <w:p>
            <w:pPr>
              <w:spacing w:after="20"/>
            </w:pPr>
            <w:r>
              <w:rPr>
                <w:rFonts w:ascii="Arial" w:hAnsi="Arial"/>
                <w:b/>
                <w:color w:val="1F4E79"/>
                <w:sz w:val="16"/>
              </w:rPr>
              <w:t>Что говорить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Диагностика</w:t>
            </w:r>
          </w:p>
        </w:tc>
        <w:tc>
          <w:tcPr>
            <w:tcW w:type="dxa" w:w="1871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от 450 000 руб.</w:t>
            </w:r>
          </w:p>
        </w:tc>
        <w:tc>
          <w:tcPr>
            <w:tcW w:type="dxa" w:w="5272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Проверяем, где ассортимент теряет прибыль, и даём управленческий вердикт.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Сессия</w:t>
            </w:r>
          </w:p>
        </w:tc>
        <w:tc>
          <w:tcPr>
            <w:tcW w:type="dxa" w:w="1871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от 850 000 руб.</w:t>
            </w:r>
          </w:p>
        </w:tc>
        <w:tc>
          <w:tcPr>
            <w:tcW w:type="dxa" w:w="5272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Собираем решения, роли и пороги по товарам, каналам, ценам, запасам и комиссиям.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Спринт</w:t>
            </w:r>
          </w:p>
        </w:tc>
        <w:tc>
          <w:tcPr>
            <w:tcW w:type="dxa" w:w="1871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от 2 400 000 руб.</w:t>
            </w:r>
          </w:p>
        </w:tc>
        <w:tc>
          <w:tcPr>
            <w:tcW w:type="dxa" w:w="5272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За 90 дней проверяем и внедряем контур решений на ограниченном участке.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Сопровождение</w:t>
            </w:r>
          </w:p>
        </w:tc>
        <w:tc>
          <w:tcPr>
            <w:tcW w:type="dxa" w:w="1871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от 900 000 руб. / мес.</w:t>
            </w:r>
          </w:p>
        </w:tc>
        <w:tc>
          <w:tcPr>
            <w:tcW w:type="dxa" w:w="5272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Удерживаем контур, контролируем эффект, исключения и откат к старым правилам.</w:t>
            </w:r>
          </w:p>
        </w:tc>
      </w:tr>
    </w:tbl>
    <w:p/>
    <w:p>
      <w:pPr>
        <w:pStyle w:val="Heading1"/>
      </w:pPr>
      <w:r>
        <w:t>6. Коммерческие пакеты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062"/>
        <w:gridCol w:w="2062"/>
        <w:gridCol w:w="2062"/>
        <w:gridCol w:w="2062"/>
        <w:gridCol w:w="2062"/>
      </w:tblGrid>
      <w:tr>
        <w:trPr>
          <w:tblHeader w:val="true"/>
        </w:trPr>
        <w:tc>
          <w:tcPr>
            <w:tcW w:type="dxa" w:w="1701"/>
            <w:vAlign w:val="center"/>
            <w:shd w:fill="EAF1F8"/>
          </w:tcPr>
          <w:p>
            <w:pPr>
              <w:spacing w:after="20"/>
            </w:pPr>
            <w:r>
              <w:rPr>
                <w:rFonts w:ascii="Arial" w:hAnsi="Arial"/>
                <w:b/>
                <w:color w:val="1F4E79"/>
                <w:sz w:val="16"/>
              </w:rPr>
              <w:t>Пакет</w:t>
            </w:r>
          </w:p>
        </w:tc>
        <w:tc>
          <w:tcPr>
            <w:tcW w:type="dxa" w:w="2268"/>
            <w:vAlign w:val="center"/>
            <w:shd w:fill="EAF1F8"/>
          </w:tcPr>
          <w:p>
            <w:pPr>
              <w:spacing w:after="20"/>
            </w:pPr>
            <w:r>
              <w:rPr>
                <w:rFonts w:ascii="Arial" w:hAnsi="Arial"/>
                <w:b/>
                <w:color w:val="1F4E79"/>
                <w:sz w:val="16"/>
              </w:rPr>
              <w:t>Состав</w:t>
            </w:r>
          </w:p>
        </w:tc>
        <w:tc>
          <w:tcPr>
            <w:tcW w:type="dxa" w:w="2494"/>
            <w:vAlign w:val="center"/>
            <w:shd w:fill="EAF1F8"/>
          </w:tcPr>
          <w:p>
            <w:pPr>
              <w:spacing w:after="20"/>
            </w:pPr>
            <w:r>
              <w:rPr>
                <w:rFonts w:ascii="Arial" w:hAnsi="Arial"/>
                <w:b/>
                <w:color w:val="1F4E79"/>
                <w:sz w:val="16"/>
              </w:rPr>
              <w:t>Для кого</w:t>
            </w:r>
          </w:p>
        </w:tc>
        <w:tc>
          <w:tcPr>
            <w:tcW w:type="dxa" w:w="2551"/>
            <w:vAlign w:val="center"/>
            <w:shd w:fill="EAF1F8"/>
          </w:tcPr>
          <w:p>
            <w:pPr>
              <w:spacing w:after="20"/>
            </w:pPr>
            <w:r>
              <w:rPr>
                <w:rFonts w:ascii="Arial" w:hAnsi="Arial"/>
                <w:b/>
                <w:color w:val="1F4E79"/>
                <w:sz w:val="16"/>
              </w:rPr>
              <w:t>Коммерческий смысл</w:t>
            </w:r>
          </w:p>
        </w:tc>
        <w:tc>
          <w:tcPr>
            <w:tcW w:type="dxa" w:w="1701"/>
            <w:vAlign w:val="center"/>
            <w:shd w:fill="EAF1F8"/>
          </w:tcPr>
          <w:p>
            <w:pPr>
              <w:spacing w:after="20"/>
            </w:pPr>
            <w:r>
              <w:rPr>
                <w:rFonts w:ascii="Arial" w:hAnsi="Arial"/>
                <w:b/>
                <w:color w:val="1F4E79"/>
                <w:sz w:val="16"/>
              </w:rPr>
              <w:t>Ориентир цены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Диагностический вход</w:t>
            </w:r>
          </w:p>
        </w:tc>
        <w:tc>
          <w:tcPr>
            <w:tcW w:type="dxa" w:w="2268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Диагностика</w:t>
            </w:r>
          </w:p>
        </w:tc>
        <w:tc>
          <w:tcPr>
            <w:tcW w:type="dxa" w:w="2494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Компания ещё не уверена, где именно теряет прибыль.</w:t>
            </w:r>
          </w:p>
        </w:tc>
        <w:tc>
          <w:tcPr>
            <w:tcW w:type="dxa" w:w="2551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Низкорисковый платный вход без обещания внедрения.</w:t>
            </w:r>
          </w:p>
        </w:tc>
        <w:tc>
          <w:tcPr>
            <w:tcW w:type="dxa" w:w="1701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450 000 - 850 000 руб.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Решение</w:t>
            </w:r>
          </w:p>
        </w:tc>
        <w:tc>
          <w:tcPr>
            <w:tcW w:type="dxa" w:w="2268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Диагностика + Сессия</w:t>
            </w:r>
          </w:p>
        </w:tc>
        <w:tc>
          <w:tcPr>
            <w:tcW w:type="dxa" w:w="2494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Проблема подтверждена, нужно принять решения.</w:t>
            </w:r>
          </w:p>
        </w:tc>
        <w:tc>
          <w:tcPr>
            <w:tcW w:type="dxa" w:w="2551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Перевод карты потерь в управленческие правила.</w:t>
            </w:r>
          </w:p>
        </w:tc>
        <w:tc>
          <w:tcPr>
            <w:tcW w:type="dxa" w:w="1701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1 300 000 - 2 450 000 руб.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Полный цикл</w:t>
            </w:r>
          </w:p>
        </w:tc>
        <w:tc>
          <w:tcPr>
            <w:tcW w:type="dxa" w:w="2268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Диагностика + Сессия + Спринт</w:t>
            </w:r>
          </w:p>
        </w:tc>
        <w:tc>
          <w:tcPr>
            <w:tcW w:type="dxa" w:w="2494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Нужно не только решить, но и проверить на практике.</w:t>
            </w:r>
          </w:p>
        </w:tc>
        <w:tc>
          <w:tcPr>
            <w:tcW w:type="dxa" w:w="2551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Минимальный полноценный цикл технологии.</w:t>
            </w:r>
          </w:p>
        </w:tc>
        <w:tc>
          <w:tcPr>
            <w:tcW w:type="dxa" w:w="1701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3 700 000 - 7 250 000 руб.; рабочий стандарт 5 000 000 - 6 500 000 руб.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Полный цикл с удержанием</w:t>
            </w:r>
          </w:p>
        </w:tc>
        <w:tc>
          <w:tcPr>
            <w:tcW w:type="dxa" w:w="2268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Диагностика + Сессия + Спринт + 6 месяцев сопровождения</w:t>
            </w:r>
          </w:p>
        </w:tc>
        <w:tc>
          <w:tcPr>
            <w:tcW w:type="dxa" w:w="2494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Высокая цена ошибки, несколько каналов, риск отката.</w:t>
            </w:r>
          </w:p>
        </w:tc>
        <w:tc>
          <w:tcPr>
            <w:tcW w:type="dxa" w:w="2551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Технология становится регулярным управленческим контуром.</w:t>
            </w:r>
          </w:p>
        </w:tc>
        <w:tc>
          <w:tcPr>
            <w:tcW w:type="dxa" w:w="1701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от 9 100 000 руб.; рабочий стандарт 11 000 000 - 16 000 000 руб.</w:t>
            </w:r>
          </w:p>
        </w:tc>
      </w:tr>
    </w:tbl>
    <w:p/>
    <w:p>
      <w:pPr>
        <w:pStyle w:val="Heading1"/>
      </w:pPr>
      <w:r>
        <w:t>7. Как калибровать цену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5156"/>
        <w:gridCol w:w="5156"/>
      </w:tblGrid>
      <w:tr>
        <w:trPr>
          <w:tblHeader w:val="true"/>
        </w:trPr>
        <w:tc>
          <w:tcPr>
            <w:tcW w:type="dxa" w:w="4535"/>
            <w:vAlign w:val="center"/>
            <w:shd w:fill="EAF1F8"/>
          </w:tcPr>
          <w:p>
            <w:pPr>
              <w:spacing w:after="20"/>
            </w:pPr>
            <w:r>
              <w:rPr>
                <w:rFonts w:ascii="Arial" w:hAnsi="Arial"/>
                <w:b/>
                <w:color w:val="1F4E79"/>
                <w:sz w:val="16"/>
              </w:rPr>
              <w:t>Повышают стоимость</w:t>
            </w:r>
          </w:p>
        </w:tc>
        <w:tc>
          <w:tcPr>
            <w:tcW w:type="dxa" w:w="4535"/>
            <w:vAlign w:val="center"/>
            <w:shd w:fill="EAF1F8"/>
          </w:tcPr>
          <w:p>
            <w:pPr>
              <w:spacing w:after="20"/>
            </w:pPr>
            <w:r>
              <w:rPr>
                <w:rFonts w:ascii="Arial" w:hAnsi="Arial"/>
                <w:b/>
                <w:color w:val="1F4E79"/>
                <w:sz w:val="16"/>
              </w:rPr>
              <w:t>Снижают стоимость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Много каналов, маркетплейсы, розница, сайт, опт, региональная сеть.</w:t>
            </w:r>
          </w:p>
        </w:tc>
        <w:tc>
          <w:tcPr>
            <w:tcW w:type="dxa" w:w="4535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Один ограниченный контур и понятный владелец результата.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Широкая товарная матрица, длинный хвост SKU, сезонность, срок годности.</w:t>
            </w:r>
          </w:p>
        </w:tc>
        <w:tc>
          <w:tcPr>
            <w:tcW w:type="dxa" w:w="4535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Короткая матрица и уже подготовленные справочники SKU.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Данные разрознены между 1С, маркетплейсами, сайтом, складом и финансами.</w:t>
            </w:r>
          </w:p>
        </w:tc>
        <w:tc>
          <w:tcPr>
            <w:tcW w:type="dxa" w:w="4535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Данные уже выгружаются в единой структуре.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Высокая цена ошибки: промо-бюджеты, комиссии, запасы, логистика, возвраты.</w:t>
            </w:r>
          </w:p>
        </w:tc>
        <w:tc>
          <w:tcPr>
            <w:tcW w:type="dxa" w:w="4535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Нужна только проверка гипотезы или один канал.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Требуется работа с первым управленческим уровнем и конфликтом функций.</w:t>
            </w:r>
          </w:p>
        </w:tc>
        <w:tc>
          <w:tcPr>
            <w:tcW w:type="dxa" w:w="4535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Решение находится в полномочиях одного руководителя.</w:t>
            </w:r>
          </w:p>
        </w:tc>
      </w:tr>
    </w:tbl>
    <w:p/>
    <w:p>
      <w:pPr>
        <w:pStyle w:val="Heading1"/>
      </w:pPr>
      <w:r>
        <w:t>8. Рыночный ориентир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10312"/>
      </w:tblGrid>
      <w:tr>
        <w:trPr>
          <w:tblHeader w:val="true"/>
        </w:trPr>
        <w:tc>
          <w:tcPr>
            <w:tcW w:type="dxa" w:w="10312"/>
            <w:vAlign w:val="center"/>
            <w:shd w:fill="F7F3EA"/>
          </w:tcPr>
          <w:p>
            <w:pPr>
              <w:spacing w:after="20"/>
            </w:pPr>
            <w:r>
              <w:rPr>
                <w:b/>
                <w:color w:val="1F4E79"/>
              </w:rPr>
              <w:t xml:space="preserve">Вывод. </w:t>
            </w:r>
            <w:r>
              <w:t>Контур Маржи должен стоить выше обычной консультации или простой фасилитации, потому что включает диагностику данных, расчётные рабочие книги, управленческие решения и сопровождение. Публичные цены рынка сильно разнятся: от недорогих консультационных сессий до стратегических сессий и комплексного сопровождения уровня сотен тысяч и миллионов рублей.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2608"/>
            <w:vAlign w:val="center"/>
            <w:shd w:fill="EAF1F8"/>
          </w:tcPr>
          <w:p>
            <w:pPr>
              <w:spacing w:after="20"/>
            </w:pPr>
            <w:r>
              <w:rPr>
                <w:rFonts w:ascii="Arial" w:hAnsi="Arial"/>
                <w:b/>
                <w:color w:val="1F4E79"/>
                <w:sz w:val="16"/>
              </w:rPr>
              <w:t>Ориентир рынка</w:t>
            </w:r>
          </w:p>
        </w:tc>
        <w:tc>
          <w:tcPr>
            <w:tcW w:type="dxa" w:w="3175"/>
            <w:vAlign w:val="center"/>
            <w:shd w:fill="EAF1F8"/>
          </w:tcPr>
          <w:p>
            <w:pPr>
              <w:spacing w:after="20"/>
            </w:pPr>
            <w:r>
              <w:rPr>
                <w:rFonts w:ascii="Arial" w:hAnsi="Arial"/>
                <w:b/>
                <w:color w:val="1F4E79"/>
                <w:sz w:val="16"/>
              </w:rPr>
              <w:t>Что показывает</w:t>
            </w:r>
          </w:p>
        </w:tc>
        <w:tc>
          <w:tcPr>
            <w:tcW w:type="dxa" w:w="3288"/>
            <w:vAlign w:val="center"/>
            <w:shd w:fill="EAF1F8"/>
          </w:tcPr>
          <w:p>
            <w:pPr>
              <w:spacing w:after="20"/>
            </w:pPr>
            <w:r>
              <w:rPr>
                <w:rFonts w:ascii="Arial" w:hAnsi="Arial"/>
                <w:b/>
                <w:color w:val="1F4E79"/>
                <w:sz w:val="16"/>
              </w:rPr>
              <w:t>Как использовать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Недорогие консультации и сессии</w:t>
            </w:r>
          </w:p>
        </w:tc>
        <w:tc>
          <w:tcPr>
            <w:tcW w:type="dxa" w:w="3175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На рынке есть предложения от десятков тысяч рублей.</w:t>
            </w:r>
          </w:p>
        </w:tc>
        <w:tc>
          <w:tcPr>
            <w:tcW w:type="dxa" w:w="3288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Не конкурировать ценой с разовой консультацией.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Стратегические сессии с подготовкой</w:t>
            </w:r>
          </w:p>
        </w:tc>
        <w:tc>
          <w:tcPr>
            <w:tcW w:type="dxa" w:w="3175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Публичные диапазоны часто лежат в сотнях тысяч рублей и выше.</w:t>
            </w:r>
          </w:p>
        </w:tc>
        <w:tc>
          <w:tcPr>
            <w:tcW w:type="dxa" w:w="3288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Сессию Контура Маржи подавать как решение по данным, а не как встречу.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Комплексное сопровождение</w:t>
            </w:r>
          </w:p>
        </w:tc>
        <w:tc>
          <w:tcPr>
            <w:tcW w:type="dxa" w:w="3175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Месячное сопровождение может стоить от сотен тысяч рублей и выше.</w:t>
            </w:r>
          </w:p>
        </w:tc>
        <w:tc>
          <w:tcPr>
            <w:tcW w:type="dxa" w:w="3288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Сопровождение Контура Маржи продавать через цену отката и удержание результата.</w:t>
            </w:r>
          </w:p>
        </w:tc>
      </w:tr>
    </w:tbl>
    <w:p/>
    <w:p>
      <w:pPr>
        <w:pStyle w:val="Heading1"/>
      </w:pPr>
      <w:r>
        <w:t>9. Гарантии и границы обещаний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1701"/>
            <w:vAlign w:val="center"/>
            <w:shd w:fill="EAF1F8"/>
          </w:tcPr>
          <w:p>
            <w:pPr>
              <w:spacing w:after="20"/>
            </w:pPr>
            <w:r>
              <w:rPr>
                <w:rFonts w:ascii="Arial" w:hAnsi="Arial"/>
                <w:b/>
                <w:color w:val="1F4E79"/>
                <w:sz w:val="16"/>
              </w:rPr>
              <w:t>Формат</w:t>
            </w:r>
          </w:p>
        </w:tc>
        <w:tc>
          <w:tcPr>
            <w:tcW w:type="dxa" w:w="3685"/>
            <w:vAlign w:val="center"/>
            <w:shd w:fill="EAF1F8"/>
          </w:tcPr>
          <w:p>
            <w:pPr>
              <w:spacing w:after="20"/>
            </w:pPr>
            <w:r>
              <w:rPr>
                <w:rFonts w:ascii="Arial" w:hAnsi="Arial"/>
                <w:b/>
                <w:color w:val="1F4E79"/>
                <w:sz w:val="16"/>
              </w:rPr>
              <w:t>Что можно обещать</w:t>
            </w:r>
          </w:p>
        </w:tc>
        <w:tc>
          <w:tcPr>
            <w:tcW w:type="dxa" w:w="3685"/>
            <w:vAlign w:val="center"/>
            <w:shd w:fill="EAF1F8"/>
          </w:tcPr>
          <w:p>
            <w:pPr>
              <w:spacing w:after="20"/>
            </w:pPr>
            <w:r>
              <w:rPr>
                <w:rFonts w:ascii="Arial" w:hAnsi="Arial"/>
                <w:b/>
                <w:color w:val="1F4E79"/>
                <w:sz w:val="16"/>
              </w:rPr>
              <w:t>Что нельзя обещать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Диагностика</w:t>
            </w:r>
          </w:p>
        </w:tc>
        <w:tc>
          <w:tcPr>
            <w:tcW w:type="dxa" w:w="3685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Карту данных, карту потерь, проверку 12 метрик и управленческий вердикт.</w:t>
            </w:r>
          </w:p>
        </w:tc>
        <w:tc>
          <w:tcPr>
            <w:tcW w:type="dxa" w:w="3685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Гарантированный рост прибыли до проверки данных.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Сессия</w:t>
            </w:r>
          </w:p>
        </w:tc>
        <w:tc>
          <w:tcPr>
            <w:tcW w:type="dxa" w:w="3685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Матрицу решений, роли, пороги, правила и план спринта.</w:t>
            </w:r>
          </w:p>
        </w:tc>
        <w:tc>
          <w:tcPr>
            <w:tcW w:type="dxa" w:w="3685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Согласие всех участников без конфликта интересов.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Спринт</w:t>
            </w:r>
          </w:p>
        </w:tc>
        <w:tc>
          <w:tcPr>
            <w:tcW w:type="dxa" w:w="3685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Проверку решений на ограниченном контуре и недельный управленческий контроль.</w:t>
            </w:r>
          </w:p>
        </w:tc>
        <w:tc>
          <w:tcPr>
            <w:tcW w:type="dxa" w:w="3685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Финансовый эффект без выполнения решений клиентом.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Сопровождение</w:t>
            </w:r>
          </w:p>
        </w:tc>
        <w:tc>
          <w:tcPr>
            <w:tcW w:type="dxa" w:w="3685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Регулярный контроль, журнал исключений, корректировки и квартальную ревизию.</w:t>
            </w:r>
          </w:p>
        </w:tc>
        <w:tc>
          <w:tcPr>
            <w:tcW w:type="dxa" w:w="3685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Отсутствие новых рыночных, операционных или регуляторных рисков.</w:t>
            </w:r>
          </w:p>
        </w:tc>
      </w:tr>
    </w:tbl>
    <w:p/>
    <w:p>
      <w:pPr>
        <w:pStyle w:val="Heading1"/>
      </w:pPr>
      <w:r>
        <w:t>10. Жёсткие правила продажи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5156"/>
        <w:gridCol w:w="5156"/>
      </w:tblGrid>
      <w:tr>
        <w:trPr>
          <w:tblHeader w:val="true"/>
        </w:trPr>
        <w:tc>
          <w:tcPr>
            <w:tcW w:type="dxa" w:w="3402"/>
            <w:vAlign w:val="center"/>
            <w:shd w:fill="EAF1F8"/>
          </w:tcPr>
          <w:p>
            <w:pPr>
              <w:spacing w:after="20"/>
            </w:pPr>
            <w:r>
              <w:rPr>
                <w:rFonts w:ascii="Arial" w:hAnsi="Arial"/>
                <w:b/>
                <w:color w:val="1F4E79"/>
                <w:sz w:val="16"/>
              </w:rPr>
              <w:t>Правило</w:t>
            </w:r>
          </w:p>
        </w:tc>
        <w:tc>
          <w:tcPr>
            <w:tcW w:type="dxa" w:w="5669"/>
            <w:vAlign w:val="center"/>
            <w:shd w:fill="EAF1F8"/>
          </w:tcPr>
          <w:p>
            <w:pPr>
              <w:spacing w:after="20"/>
            </w:pPr>
            <w:r>
              <w:rPr>
                <w:rFonts w:ascii="Arial" w:hAnsi="Arial"/>
                <w:b/>
                <w:color w:val="1F4E79"/>
                <w:sz w:val="16"/>
              </w:rPr>
              <w:t>Зачем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Не делать диагностику бесплатной.</w:t>
            </w:r>
          </w:p>
        </w:tc>
        <w:tc>
          <w:tcPr>
            <w:tcW w:type="dxa" w:w="5669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Бесплатный вход обесценивает данные и притягивает нецелевые запросы.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Не продавать сессию до диагностики.</w:t>
            </w:r>
          </w:p>
        </w:tc>
        <w:tc>
          <w:tcPr>
            <w:tcW w:type="dxa" w:w="5669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Без карты потерь сессия превращается в обсуждение мнений.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Не продавать рабочие книги отдельно как продукт.</w:t>
            </w:r>
          </w:p>
        </w:tc>
        <w:tc>
          <w:tcPr>
            <w:tcW w:type="dxa" w:w="5669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Без методологии и решений таблицы становятся набором файлов.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Не обещать прибыль до проверки данных.</w:t>
            </w:r>
          </w:p>
        </w:tc>
        <w:tc>
          <w:tcPr>
            <w:tcW w:type="dxa" w:w="5669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Технология отвечает за качество контура, а не за магический результат.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Не брать проект без владельца решения.</w:t>
            </w:r>
          </w:p>
        </w:tc>
        <w:tc>
          <w:tcPr>
            <w:tcW w:type="dxa" w:w="5669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Если никто не отвечает за изменение цены, промо, канала или запаса, спринт не состоится.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Не продолжать проект при несводимых данных.</w:t>
            </w:r>
          </w:p>
        </w:tc>
        <w:tc>
          <w:tcPr>
            <w:tcW w:type="dxa" w:w="5669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Стоп-решение защищает клиента и технологию от имитации внедрения.</w:t>
            </w:r>
          </w:p>
        </w:tc>
      </w:tr>
    </w:tbl>
    <w:p/>
    <w:p>
      <w:pPr>
        <w:pStyle w:val="Heading1"/>
      </w:pPr>
      <w:r>
        <w:t>11. Для кого не подходит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5156"/>
        <w:gridCol w:w="5156"/>
      </w:tblGrid>
      <w:tr>
        <w:trPr>
          <w:tblHeader w:val="true"/>
        </w:trPr>
        <w:tc>
          <w:tcPr>
            <w:tcW w:type="dxa" w:w="3515"/>
            <w:vAlign w:val="center"/>
            <w:shd w:fill="EAF1F8"/>
          </w:tcPr>
          <w:p>
            <w:pPr>
              <w:spacing w:after="20"/>
            </w:pPr>
            <w:r>
              <w:rPr>
                <w:rFonts w:ascii="Arial" w:hAnsi="Arial"/>
                <w:b/>
                <w:color w:val="1F4E79"/>
                <w:sz w:val="16"/>
              </w:rPr>
              <w:t>Ситуация</w:t>
            </w:r>
          </w:p>
        </w:tc>
        <w:tc>
          <w:tcPr>
            <w:tcW w:type="dxa" w:w="5556"/>
            <w:vAlign w:val="center"/>
            <w:shd w:fill="EAF1F8"/>
          </w:tcPr>
          <w:p>
            <w:pPr>
              <w:spacing w:after="20"/>
            </w:pPr>
            <w:r>
              <w:rPr>
                <w:rFonts w:ascii="Arial" w:hAnsi="Arial"/>
                <w:b/>
                <w:color w:val="1F4E79"/>
                <w:sz w:val="16"/>
              </w:rPr>
              <w:t>Почему не подходит</w:t>
            </w:r>
          </w:p>
        </w:tc>
      </w:tr>
      <w:tr>
        <w:tc>
          <w:tcPr>
            <w:tcW w:type="dxa" w:w="3515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Нет товарной матрицы или значимого ассортиментного решения.</w:t>
            </w:r>
          </w:p>
        </w:tc>
        <w:tc>
          <w:tcPr>
            <w:tcW w:type="dxa" w:w="5556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Технологии нужен объект управления: SKU, канал, цена, запас, комиссия, прибыль.</w:t>
            </w:r>
          </w:p>
        </w:tc>
      </w:tr>
      <w:tr>
        <w:tc>
          <w:tcPr>
            <w:tcW w:type="dxa" w:w="3515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Нет данных, по которым можно увидеть потери, и клиент не готов их восстанавливать.</w:t>
            </w:r>
          </w:p>
        </w:tc>
        <w:tc>
          <w:tcPr>
            <w:tcW w:type="dxa" w:w="5556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Расчётный контур нельзя строить на ощущениях.</w:t>
            </w:r>
          </w:p>
        </w:tc>
      </w:tr>
      <w:tr>
        <w:tc>
          <w:tcPr>
            <w:tcW w:type="dxa" w:w="3515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Клиент хочет только красивую презентацию.</w:t>
            </w:r>
          </w:p>
        </w:tc>
        <w:tc>
          <w:tcPr>
            <w:tcW w:type="dxa" w:w="5556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Контур Маржи требует решений, владельцев и проверки.</w:t>
            </w:r>
          </w:p>
        </w:tc>
      </w:tr>
      <w:tr>
        <w:tc>
          <w:tcPr>
            <w:tcW w:type="dxa" w:w="3515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Руководство не готово менять промо, цену, канал или ассортимент.</w:t>
            </w:r>
          </w:p>
        </w:tc>
        <w:tc>
          <w:tcPr>
            <w:tcW w:type="dxa" w:w="5556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Без права на решение технология превращается в отчёт.</w:t>
            </w:r>
          </w:p>
        </w:tc>
      </w:tr>
    </w:tbl>
    <w:p/>
    <w:p>
      <w:pPr>
        <w:pStyle w:val="Heading1"/>
      </w:pPr>
      <w:r>
        <w:t>12. Итоговая рекомендация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10312"/>
      </w:tblGrid>
      <w:tr>
        <w:trPr>
          <w:tblHeader w:val="true"/>
        </w:trPr>
        <w:tc>
          <w:tcPr>
            <w:tcW w:type="dxa" w:w="10312"/>
            <w:vAlign w:val="center"/>
            <w:shd w:fill="EAF5EA"/>
          </w:tcPr>
          <w:p>
            <w:pPr>
              <w:spacing w:after="20"/>
            </w:pPr>
            <w:r>
              <w:rPr>
                <w:b/>
                <w:color w:val="1F4E79"/>
              </w:rPr>
              <w:t xml:space="preserve">Рекомендация. </w:t>
            </w:r>
            <w:r>
              <w:t>Публично показывать цены «от», а в коммерческом предложении давать диапазон после первичной квалификации. Рабочий стандарт полного цикла без сопровождения — 5,0-6,5 млн руб. Полный цикл с шестимесячным сопровождением — 11,0-16,0 млн руб. при высокой цене ошибки и нескольких каналах.</w:t>
            </w:r>
          </w:p>
        </w:tc>
      </w:tr>
    </w:tbl>
    <w:p/>
    <w:p>
      <w:pPr>
        <w:pStyle w:val="Heading1"/>
      </w:pPr>
      <w:r>
        <w:t>13. Коммерческая проверка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5156"/>
        <w:gridCol w:w="5156"/>
      </w:tblGrid>
      <w:tr>
        <w:trPr>
          <w:tblHeader w:val="true"/>
        </w:trPr>
        <w:tc>
          <w:tcPr>
            <w:tcW w:type="dxa" w:w="6803"/>
            <w:vAlign w:val="center"/>
            <w:shd w:fill="EAF1F8"/>
          </w:tcPr>
          <w:p>
            <w:pPr>
              <w:spacing w:after="20"/>
            </w:pPr>
            <w:r>
              <w:rPr>
                <w:rFonts w:ascii="Arial" w:hAnsi="Arial"/>
                <w:b/>
                <w:color w:val="1F4E79"/>
                <w:sz w:val="16"/>
              </w:rPr>
              <w:t>Проверка</w:t>
            </w:r>
          </w:p>
        </w:tc>
        <w:tc>
          <w:tcPr>
            <w:tcW w:type="dxa" w:w="2268"/>
            <w:vAlign w:val="center"/>
            <w:shd w:fill="EAF1F8"/>
          </w:tcPr>
          <w:p>
            <w:pPr>
              <w:spacing w:after="20"/>
            </w:pPr>
            <w:r>
              <w:rPr>
                <w:rFonts w:ascii="Arial" w:hAnsi="Arial"/>
                <w:b/>
                <w:color w:val="1F4E79"/>
                <w:sz w:val="16"/>
              </w:rPr>
              <w:t>Статус</w:t>
            </w:r>
          </w:p>
        </w:tc>
      </w:tr>
      <w:tr>
        <w:tc>
          <w:tcPr>
            <w:tcW w:type="dxa" w:w="6803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В документе только четыре платных продукта.</w:t>
            </w:r>
          </w:p>
        </w:tc>
        <w:tc>
          <w:tcPr>
            <w:tcW w:type="dxa" w:w="2268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Да</w:t>
            </w:r>
          </w:p>
        </w:tc>
      </w:tr>
      <w:tr>
        <w:tc>
          <w:tcPr>
            <w:tcW w:type="dxa" w:w="6803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Сессия не продаётся автоматически после диагностики.</w:t>
            </w:r>
          </w:p>
        </w:tc>
        <w:tc>
          <w:tcPr>
            <w:tcW w:type="dxa" w:w="2268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Да</w:t>
            </w:r>
          </w:p>
        </w:tc>
      </w:tr>
      <w:tr>
        <w:tc>
          <w:tcPr>
            <w:tcW w:type="dxa" w:w="6803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Демо-данные и кейсы не используются как доказательство реальных внедрений.</w:t>
            </w:r>
          </w:p>
        </w:tc>
        <w:tc>
          <w:tcPr>
            <w:tcW w:type="dxa" w:w="2268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Да</w:t>
            </w:r>
          </w:p>
        </w:tc>
      </w:tr>
      <w:tr>
        <w:tc>
          <w:tcPr>
            <w:tcW w:type="dxa" w:w="6803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Гарантированная прибыль не обещается.</w:t>
            </w:r>
          </w:p>
        </w:tc>
        <w:tc>
          <w:tcPr>
            <w:tcW w:type="dxa" w:w="2268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Да</w:t>
            </w:r>
          </w:p>
        </w:tc>
      </w:tr>
      <w:tr>
        <w:tc>
          <w:tcPr>
            <w:tcW w:type="dxa" w:w="6803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XLSX / электронные таблицы названы частью технологии.</w:t>
            </w:r>
          </w:p>
        </w:tc>
        <w:tc>
          <w:tcPr>
            <w:tcW w:type="dxa" w:w="2268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Да</w:t>
            </w:r>
          </w:p>
        </w:tc>
      </w:tr>
      <w:tr>
        <w:tc>
          <w:tcPr>
            <w:tcW w:type="dxa" w:w="6803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Английские термины даны только при необходимости с русским пояснением.</w:t>
            </w:r>
          </w:p>
        </w:tc>
        <w:tc>
          <w:tcPr>
            <w:tcW w:type="dxa" w:w="2268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Да</w:t>
            </w:r>
          </w:p>
        </w:tc>
      </w:tr>
    </w:tbl>
    <w:p/>
    <w:p>
      <w:r>
        <w:t>Примечание: рыночный ориентир используется только как коммерческая рамка. Документ не является конкурентным анализом и не заменяет индивидуальную смету под конкретного клиента.</w:t>
      </w:r>
    </w:p>
    <w:sectPr w:rsidR="00FC693F" w:rsidRPr="0006063C" w:rsidSect="00034616">
      <w:pgSz w:w="12240" w:h="15840"/>
      <w:pgMar w:top="907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color w:val="222222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