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4"/>
        </w:rPr>
        <w:t>Руководство консультанта — Контур Маржи v2.0</w:t>
      </w:r>
    </w:p>
    <w:p>
      <w:r>
        <w:rPr>
          <w:rFonts w:ascii="Arial" w:hAnsi="Arial"/>
          <w:color w:val="666666"/>
          <w:sz w:val="22"/>
        </w:rPr>
        <w:t>Как проводить технологию без потери качества</w:t>
      </w:r>
    </w:p>
    <w:p>
      <w:r>
        <w:rPr>
          <w:rFonts w:ascii="Arial" w:hAnsi="Arial"/>
          <w:color w:val="666666"/>
          <w:sz w:val="18"/>
        </w:rPr>
        <w:t>Версия: v2.0. Дата выпуска: 20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8640"/>
      </w:tblGrid>
      <w:tr>
        <w:trPr>
          <w:tblHeader w:val="true"/>
        </w:trPr>
        <w:tc>
          <w:tcPr>
            <w:tcW w:type="dxa" w:w="8640"/>
            <w:vAlign w:val="center"/>
            <w:shd w:fill="F7F3EA"/>
          </w:tcPr>
          <w:p>
            <w:pPr>
              <w:spacing w:after="40"/>
            </w:pPr>
            <w:r>
              <w:rPr>
                <w:b/>
                <w:color w:val="1F4E79"/>
              </w:rPr>
              <w:t xml:space="preserve">Главное правило. </w:t>
            </w:r>
            <w:r>
              <w:t>Консультант не продаёт отдельные таблицы и не обещает прибыль. Он проводит клиента через управленческий контур: данные -&gt; потери -&gt; решения -&gt; внедрение -&gt; удержание.</w:t>
            </w:r>
          </w:p>
        </w:tc>
      </w:tr>
    </w:tbl>
    <w:p/>
    <w:p>
      <w:pPr>
        <w:pStyle w:val="Heading1"/>
      </w:pPr>
      <w:r>
        <w:t>1. Роль консультанта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45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делать</w:t>
            </w:r>
          </w:p>
        </w:tc>
        <w:tc>
          <w:tcPr>
            <w:tcW w:type="dxa" w:w="45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не делать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Проверять качество данных до сильных выводов.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Продолжать проект, если данные не позволяют ответственно считать потери.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Связывать каждое решение с товаром, каналом, ценой, запасом, комиссией и прибылью.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Подменять технологию общими советами по продажам.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Фиксировать владельца решения и управленческий ритм.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Оставлять выводы без ответственного и срока проверки.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Показывать модельные кейсы как сценарии применения.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Выдавать модельные кейсы за реальные внедрения.</w:t>
            </w:r>
          </w:p>
        </w:tc>
      </w:tr>
    </w:tbl>
    <w:p/>
    <w:p>
      <w:pPr>
        <w:pStyle w:val="Heading1"/>
      </w:pPr>
      <w:r>
        <w:t>2. Порядок проведения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53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делает консультант</w:t>
            </w:r>
          </w:p>
        </w:tc>
        <w:tc>
          <w:tcPr>
            <w:tcW w:type="dxa" w:w="283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проверяет</w:t>
            </w:r>
          </w:p>
        </w:tc>
        <w:tc>
          <w:tcPr>
            <w:tcW w:type="dxa" w:w="192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Артефакт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Собирает данные, строит карту потерь, проверяет 12 метрик.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Полнота SKU, каналов, цен, запасов, комиссий и прибыли.</w:t>
            </w:r>
          </w:p>
        </w:tc>
        <w:tc>
          <w:tcPr>
            <w:tcW w:type="dxa" w:w="19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 и решение: идти дальше или стоп.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Проводит управленческое решение по приоритетам.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Есть ли владелец, порог, действие и срок.</w:t>
            </w:r>
          </w:p>
        </w:tc>
        <w:tc>
          <w:tcPr>
            <w:tcW w:type="dxa" w:w="19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 и паспорт спринта.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Ведёт внедрение по неделям.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Действия не расползлись в общий проект по улучшениям.</w:t>
            </w:r>
          </w:p>
        </w:tc>
        <w:tc>
          <w:tcPr>
            <w:tcW w:type="dxa" w:w="19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отчёты и журнал решений.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Удерживает контур и масштабирует правила.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Эффект подтверждён данными, исключения объяснены.</w:t>
            </w:r>
          </w:p>
        </w:tc>
        <w:tc>
          <w:tcPr>
            <w:tcW w:type="dxa" w:w="19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журнал исключений, финальный отчёт.</w:t>
            </w:r>
          </w:p>
        </w:tc>
      </w:tr>
    </w:tbl>
    <w:p/>
    <w:p>
      <w:pPr>
        <w:pStyle w:val="Heading1"/>
      </w:pPr>
      <w:r>
        <w:t>3. Стоп-критерии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26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Критерий</w:t>
            </w:r>
          </w:p>
        </w:tc>
        <w:tc>
          <w:tcPr>
            <w:tcW w:type="dxa" w:w="385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означает</w:t>
            </w:r>
          </w:p>
        </w:tc>
        <w:tc>
          <w:tcPr>
            <w:tcW w:type="dxa" w:w="294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Действие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Несводимые данные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Один и тот же SKU, канал или заказ нельзя связать между источниками.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Остановить движение после диагностики и выдать план восстановления данных.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 управленческой цены ошибки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Потери незначимы или клиент не готов принимать решения.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 запускать сессию и спринт.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 владельца решения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Решения не закреплены за руководителем или функцией.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Вернуть на сессию, не начинать спринт.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Запрещённые обещания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требует гарантии прибыли до расчётов.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Переформулировать ожидания или отказаться от продолжения.</w:t>
            </w:r>
          </w:p>
        </w:tc>
      </w:tr>
    </w:tbl>
    <w:p/>
    <w:p>
      <w:pPr>
        <w:pStyle w:val="Heading1"/>
      </w:pPr>
      <w:r>
        <w:t>4. Типовые ошибки консультанта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324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Ошибка</w:t>
            </w:r>
          </w:p>
        </w:tc>
        <w:tc>
          <w:tcPr>
            <w:tcW w:type="dxa" w:w="3402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Почему опасна</w:t>
            </w:r>
          </w:p>
        </w:tc>
        <w:tc>
          <w:tcPr>
            <w:tcW w:type="dxa" w:w="3345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Как исправлять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Считать только продажи.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Продажи могут расти, а прибыль исчезать.</w:t>
            </w:r>
          </w:p>
        </w:tc>
        <w:tc>
          <w:tcPr>
            <w:tcW w:type="dxa" w:w="334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Всегда доводить до прибыли по SKU и каналу.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Смешивать маржу и рентабельность.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Руководители начинают спорить о терминах вместо решения.</w:t>
            </w:r>
          </w:p>
        </w:tc>
        <w:tc>
          <w:tcPr>
            <w:tcW w:type="dxa" w:w="334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 начале проекта фиксировать словарь расчётов.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Переходить к спринту без сессии.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 согласованного решения и владельца.</w:t>
            </w:r>
          </w:p>
        </w:tc>
        <w:tc>
          <w:tcPr>
            <w:tcW w:type="dxa" w:w="334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Сначала матрица решений, затем внедрение.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Прятать слабые данные.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Технология теряет доверие.</w:t>
            </w:r>
          </w:p>
        </w:tc>
        <w:tc>
          <w:tcPr>
            <w:tcW w:type="dxa" w:w="334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Показывать качество данных как отдельный результат.</w:t>
            </w:r>
          </w:p>
        </w:tc>
      </w:tr>
    </w:tbl>
    <w:p/>
    <w:p>
      <w:pPr>
        <w:pStyle w:val="Heading1"/>
      </w:pPr>
      <w:r>
        <w:t>5. Чек-лист качества перед выдачей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320"/>
        <w:gridCol w:w="4320"/>
      </w:tblGrid>
      <w:tr>
        <w:trPr>
          <w:tblHeader w:val="true"/>
        </w:trPr>
        <w:tc>
          <w:tcPr>
            <w:tcW w:type="dxa" w:w="7257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Проверка</w:t>
            </w:r>
          </w:p>
        </w:tc>
        <w:tc>
          <w:tcPr>
            <w:tcW w:type="dxa" w:w="1814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Да / нет</w:t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Все кейсы и демо-данные помечены как модельные.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Нет пятого продукта и бесплатной параллельной линейки.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вывод связан с рабочей книгой или явно помечен как предположение.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Есть решение: продолжать, остановить или вернуть на подготовку данных.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725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 финальном отчёте нет гарантий результата без условий.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</w:r>
          </w:p>
        </w:tc>
      </w:tr>
    </w:tbl>
    <w:p/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