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23 | Проектный слой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Шаблон финального отчёта и кейса — Контур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финальный отчёт и кейс.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Паспорт финального отчёта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812"/>
        <w:gridCol w:w="6548"/>
      </w:tblGrid>
      <w:tr>
        <w:trPr>
          <w:tblHeader w:val="true"/>
        </w:trPr>
        <w:tc>
          <w:tcPr>
            <w:tcW w:type="dxa" w:w="28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654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Значение</w:t>
            </w:r>
          </w:p>
        </w:tc>
      </w:tr>
      <w:tr>
        <w:tc>
          <w:tcPr>
            <w:tcW w:type="dxa" w:w="28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Компания</w:t>
            </w:r>
          </w:p>
        </w:tc>
        <w:tc>
          <w:tcPr>
            <w:tcW w:type="dxa" w:w="65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8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Период работы</w:t>
            </w:r>
          </w:p>
        </w:tc>
        <w:tc>
          <w:tcPr>
            <w:tcW w:type="dxa" w:w="654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8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Консультант</w:t>
            </w:r>
          </w:p>
        </w:tc>
        <w:tc>
          <w:tcPr>
            <w:tcW w:type="dxa" w:w="65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8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Форматы работы</w:t>
            </w:r>
          </w:p>
        </w:tc>
        <w:tc>
          <w:tcPr>
            <w:tcW w:type="dxa" w:w="654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 / сессия / спринт / сопровождение</w:t>
            </w:r>
          </w:p>
        </w:tc>
      </w:tr>
      <w:tr>
        <w:tc>
          <w:tcPr>
            <w:tcW w:type="dxa" w:w="28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</w:t>
            </w:r>
          </w:p>
        </w:tc>
        <w:tc>
          <w:tcPr>
            <w:tcW w:type="dxa" w:w="65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8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Статус кейса</w:t>
            </w:r>
          </w:p>
        </w:tc>
        <w:tc>
          <w:tcPr>
            <w:tcW w:type="dxa" w:w="654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реальный / модельный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Метрики до / после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801"/>
        <w:gridCol w:w="1178"/>
        <w:gridCol w:w="1178"/>
        <w:gridCol w:w="1203"/>
      </w:tblGrid>
      <w:tr>
        <w:trPr>
          <w:tblHeader w:val="true"/>
        </w:trPr>
        <w:tc>
          <w:tcPr>
            <w:tcW w:type="dxa" w:w="58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11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До</w:t>
            </w:r>
          </w:p>
        </w:tc>
        <w:tc>
          <w:tcPr>
            <w:tcW w:type="dxa" w:w="11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После</w:t>
            </w:r>
          </w:p>
        </w:tc>
        <w:tc>
          <w:tcPr>
            <w:tcW w:type="dxa" w:w="120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Изменение</w:t>
            </w:r>
          </w:p>
        </w:tc>
      </w:tr>
      <w:tr>
        <w:tc>
          <w:tcPr>
            <w:tcW w:type="dxa" w:w="5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</w:t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красных SKU x канал</w:t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OSA / наличие</w:t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Строк без владельца</w:t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Итоговые артефакты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779"/>
        <w:gridCol w:w="1581"/>
      </w:tblGrid>
      <w:tr>
        <w:trPr>
          <w:tblHeader w:val="true"/>
        </w:trPr>
        <w:tc>
          <w:tcPr>
            <w:tcW w:type="dxa" w:w="777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Артефакт</w:t>
            </w:r>
          </w:p>
        </w:tc>
        <w:tc>
          <w:tcPr>
            <w:tcW w:type="dxa" w:w="15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потерь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Таблица SKU x канал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 метрик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Архитектура Контура Маржи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P&amp;L / прибыль и убытки по SKU x канал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 или рабочая таблица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Еженедельные отчёты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Дорожная карта следующего периода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Кейс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Контекст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[Отрасль, размер, каналы, исходная проблема. Без названия клиента или с разрешения.]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Стартовая точка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ключевые красные зоны: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метрики до: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управленческие разрывы: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ограничения данных: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Что сделали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Сессия: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Спринт: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Сопровождение: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Результаты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метрики после: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закрытые красные зоны: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оставшиеся красные зоны: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Статус результата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572"/>
        <w:gridCol w:w="6214"/>
        <w:gridCol w:w="1574"/>
      </w:tblGrid>
      <w:tr>
        <w:trPr>
          <w:tblHeader w:val="true"/>
        </w:trPr>
        <w:tc>
          <w:tcPr>
            <w:tcW w:type="dxa" w:w="157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Результат</w:t>
            </w:r>
          </w:p>
        </w:tc>
        <w:tc>
          <w:tcPr>
            <w:tcW w:type="dxa" w:w="62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157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Основание</w:t>
            </w:r>
          </w:p>
        </w:tc>
      </w:tr>
      <w:tr>
        <w:tc>
          <w:tcPr>
            <w:tcW w:type="dxa" w:w="15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62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подтверждённый эффект / вероятный эффект / модельный расчёт / не подтверждено</w:t>
            </w:r>
          </w:p>
        </w:tc>
        <w:tc>
          <w:tcPr>
            <w:tcW w:type="dxa" w:w="15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Что подтверждено данными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-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Что осталось гипотезой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-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Следующий горизонт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-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Обязательная пометка, если кейс не реальный: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модельный кейс-пример применения технологии.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Рекомендации по дальнейшей работе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574"/>
        <w:gridCol w:w="3786"/>
      </w:tblGrid>
      <w:tr>
        <w:trPr>
          <w:tblHeader w:val="true"/>
        </w:trPr>
        <w:tc>
          <w:tcPr>
            <w:tcW w:type="dxa" w:w="557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Следующий шаг</w:t>
            </w:r>
          </w:p>
        </w:tc>
        <w:tc>
          <w:tcPr>
            <w:tcW w:type="dxa" w:w="378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Рекомендуемый формат</w:t>
            </w:r>
          </w:p>
        </w:tc>
      </w:tr>
      <w:tr>
        <w:tc>
          <w:tcPr>
            <w:tcW w:type="dxa" w:w="55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удержать контур</w:t>
            </w:r>
          </w:p>
        </w:tc>
        <w:tc>
          <w:tcPr>
            <w:tcW w:type="dxa" w:w="37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</w:t>
            </w:r>
          </w:p>
        </w:tc>
      </w:tr>
      <w:tr>
        <w:tc>
          <w:tcPr>
            <w:tcW w:type="dxa" w:w="557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проверить сценарии комиссии и возвратов</w:t>
            </w:r>
          </w:p>
        </w:tc>
        <w:tc>
          <w:tcPr>
            <w:tcW w:type="dxa" w:w="378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</w:t>
            </w:r>
          </w:p>
        </w:tc>
      </w:tr>
      <w:tr>
        <w:tc>
          <w:tcPr>
            <w:tcW w:type="dxa" w:w="55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расширить P&amp;L / прибыль и убытки на новые каналы</w:t>
            </w:r>
          </w:p>
        </w:tc>
        <w:tc>
          <w:tcPr>
            <w:tcW w:type="dxa" w:w="37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 / сопровождение</w:t>
            </w:r>
          </w:p>
        </w:tc>
      </w:tr>
      <w:tr>
        <w:tc>
          <w:tcPr>
            <w:tcW w:type="dxa" w:w="557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подготовить публичный кейс</w:t>
            </w:r>
          </w:p>
        </w:tc>
        <w:tc>
          <w:tcPr>
            <w:tcW w:type="dxa" w:w="378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</w:t>
            </w:r>
          </w:p>
        </w:tc>
      </w:tr>
      <w:tr>
        <w:tc>
          <w:tcPr>
            <w:tcW w:type="dxa" w:w="55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провести юридический фактчек</w:t>
            </w:r>
          </w:p>
        </w:tc>
        <w:tc>
          <w:tcPr>
            <w:tcW w:type="dxa" w:w="37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отдельный блок</w:t>
            </w:r>
          </w:p>
        </w:tc>
      </w:tr>
    </w:tbl>
    <w:p/>
    <w:p>
      <w:pPr>
        <w:spacing w:before="260" w:after="120" w:line="252" w:lineRule="auto"/>
      </w:pPr>
      <w:r>
        <w:t>6. Статус и границы описания кейса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6396"/>
        <w:gridCol w:w="1299"/>
        <w:gridCol w:w="1665"/>
      </w:tblGrid>
      <w:tr>
        <w:trPr>
          <w:tblHeader w:val="true"/>
        </w:trPr>
        <w:tc>
          <w:tcPr>
            <w:tcW w:type="dxa" w:w="63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Проверка</w:t>
            </w:r>
          </w:p>
        </w:tc>
        <w:tc>
          <w:tcPr>
            <w:tcW w:type="dxa" w:w="129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 / нет</w:t>
            </w:r>
          </w:p>
        </w:tc>
        <w:tc>
          <w:tcPr>
            <w:tcW w:type="dxa" w:w="166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63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Реальный кейс подтверждён данными клиента</w:t>
            </w:r>
          </w:p>
        </w:tc>
        <w:tc>
          <w:tcPr>
            <w:tcW w:type="dxa" w:w="12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3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Модельный кейс прямо промаркирован</w:t>
            </w:r>
          </w:p>
        </w:tc>
        <w:tc>
          <w:tcPr>
            <w:tcW w:type="dxa" w:w="12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3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до / после не смешаны с гипотезами</w:t>
            </w:r>
          </w:p>
        </w:tc>
        <w:tc>
          <w:tcPr>
            <w:tcW w:type="dxa" w:w="12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3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Финансовый эффект не заявлен без расчёта</w:t>
            </w:r>
          </w:p>
        </w:tc>
        <w:tc>
          <w:tcPr>
            <w:tcW w:type="dxa" w:w="12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3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Ограничения данных описаны</w:t>
            </w:r>
          </w:p>
        </w:tc>
        <w:tc>
          <w:tcPr>
            <w:tcW w:type="dxa" w:w="12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3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Следующий горизонт не выглядит как скрытая гарантия</w:t>
            </w:r>
          </w:p>
        </w:tc>
        <w:tc>
          <w:tcPr>
            <w:tcW w:type="dxa" w:w="12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кейс нельзя использовать в продажах как реальный, если он модельный или не подтверждён данными.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