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2"/>
        </w:rPr>
        <w:t>Контур Маржи</w:t>
      </w:r>
    </w:p>
    <w:p>
      <w:r>
        <w:rPr>
          <w:rFonts w:ascii="Arial" w:hAnsi="Arial"/>
          <w:b/>
          <w:sz w:val="25"/>
        </w:rPr>
        <w:t>Диагностика - итоговый отчет v2.0</w:t>
      </w:r>
    </w:p>
    <w:p>
      <w:r>
        <w:rPr>
          <w:rFonts w:ascii="Arial" w:hAnsi="Arial"/>
          <w:color w:val="666666"/>
          <w:sz w:val="18"/>
        </w:rPr>
        <w:t>P1B / шаблон результата платной Диагностики: данные -&gt; карта потерь -&gt; 12 метрик -&gt; вердикт -&gt; следующий шаг.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vAlign w:val="center"/>
            <w:shd w:fill="EAF5EA"/>
          </w:tcPr>
          <w:p>
            <w:pPr>
              <w:spacing w:after="20" w:line="240" w:lineRule="auto"/>
            </w:pPr>
            <w:r>
              <w:rPr>
                <w:b/>
                <w:color w:val="1F4E79"/>
              </w:rPr>
              <w:t xml:space="preserve">Назначение. </w:t>
            </w:r>
            <w:r>
              <w:t>Документ фиксирует итог Диагностики как самостоятельный платный результат. Он не заменяет рабочую книгу, а переводит расчет и наблюдения в управленческий вердикт: идти на Сессию, поставить паузу, остановить проект или собрать данные.</w:t>
            </w:r>
          </w:p>
        </w:tc>
      </w:tr>
    </w:tbl>
    <w:p/>
    <w:p>
      <w:pPr>
        <w:pStyle w:val="Heading1"/>
      </w:pPr>
      <w:r>
        <w:t>1. Паспорт диагностики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5"/>
        <w:gridCol w:w="5185"/>
      </w:tblGrid>
      <w:tr>
        <w:trPr>
          <w:tblHeader w:val="true"/>
        </w:trPr>
        <w:tc>
          <w:tcPr>
            <w:tcW w:type="dxa" w:w="5185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Поле</w:t>
            </w:r>
          </w:p>
        </w:tc>
        <w:tc>
          <w:tcPr>
            <w:tcW w:type="dxa" w:w="5185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Значение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Клиент</w:t>
            </w:r>
          </w:p>
        </w:tc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[Название клиента / проект]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Период диагностики</w:t>
            </w:r>
          </w:p>
        </w:tc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[Даты]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Контур проверки</w:t>
            </w:r>
          </w:p>
        </w:tc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[SKU / товарные позиции, каналы, категории, регионы]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Использованные файлы</w:t>
            </w:r>
          </w:p>
        </w:tc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Контур_Маржи_Диагностика_Рабочая_книга_Расчет_v2.0.xlsx; выгрузки клиента; интервью; коммерческие условия.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Ответственный консультант</w:t>
            </w:r>
          </w:p>
        </w:tc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[ФИО]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Дата вердикта</w:t>
            </w:r>
          </w:p>
        </w:tc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[Дата]</w:t>
            </w:r>
          </w:p>
        </w:tc>
      </w:tr>
    </w:tbl>
    <w:p/>
    <w:p>
      <w:pPr>
        <w:pStyle w:val="Heading1"/>
      </w:pPr>
      <w:r>
        <w:t>2. Управленческое резюме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5"/>
        <w:gridCol w:w="5185"/>
      </w:tblGrid>
      <w:tr>
        <w:trPr>
          <w:tblHeader w:val="true"/>
        </w:trPr>
        <w:tc>
          <w:tcPr>
            <w:tcW w:type="dxa" w:w="5185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5"/>
              </w:rPr>
              <w:t>Вопрос</w:t>
            </w:r>
          </w:p>
        </w:tc>
        <w:tc>
          <w:tcPr>
            <w:tcW w:type="dxa" w:w="5185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5"/>
              </w:rPr>
              <w:t>Ответ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5"/>
              </w:rPr>
              <w:t>Главный вывод</w:t>
            </w:r>
          </w:p>
        </w:tc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5"/>
              </w:rPr>
              <w:t>[1-2 предложения: где ассортимент теряет прибыль или почему вывод нельзя подтвердить]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5"/>
              </w:rPr>
              <w:t>Цена ошибки</w:t>
            </w:r>
          </w:p>
        </w:tc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5"/>
              </w:rPr>
              <w:t>[Качественная или расчетная оценка: оборот под риском, потери маржи, замороженный запас, комиссии, возвраты]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5"/>
              </w:rPr>
              <w:t>Красные зоны P0-P3</w:t>
            </w:r>
          </w:p>
        </w:tc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5"/>
              </w:rPr>
              <w:t>[Краткий список приоритетов]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5"/>
              </w:rPr>
              <w:t>Вердикт</w:t>
            </w:r>
          </w:p>
        </w:tc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5"/>
              </w:rPr>
              <w:t>Сессия / пауза / стоп / сбор данных</w:t>
            </w:r>
          </w:p>
        </w:tc>
      </w:tr>
      <w:tr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5"/>
              </w:rPr>
              <w:t>Следующий шаг</w:t>
            </w:r>
          </w:p>
        </w:tc>
        <w:tc>
          <w:tcPr>
            <w:tcW w:type="dxa" w:w="5185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5"/>
              </w:rPr>
              <w:t>[Что открыть, кто владелец, какой срок]</w:t>
            </w:r>
          </w:p>
        </w:tc>
      </w:tr>
    </w:tbl>
    <w:p/>
    <w:p>
      <w:pPr>
        <w:pStyle w:val="Heading1"/>
      </w:pPr>
      <w:r>
        <w:t>3. Карта данных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Источник данных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Что проверялось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Статус качества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Ограничения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Решение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Продажи SKU x канал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Выручка, количество, цена, скидка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достаточно / ограничено / недостаточно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[Разрывы, дубли, неполные периоды]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[Использовать / запросить / исключить]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Комиссии и удержания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Комиссия, логистика, эквайринг, штрафы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достаточно / ограничено / недостаточно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[Что не связано с SKU или каналом]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[Использовать / запросить / исключить]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Запасы и возвраты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Остатки, оборачиваемость, возвраты, списания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достаточно / ограничено / недостаточно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[Отсутствие связки по периоду или SKU]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[Использовать / запросить / исключить]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Промо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Механика, скидка, компенсации, период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достаточно / ограничено / недостаточно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[Не видна экономика промо]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[Использовать / запросить / исключить]</w:t>
            </w:r>
          </w:p>
        </w:tc>
      </w:tr>
    </w:tbl>
    <w:p/>
    <w:p>
      <w:pPr>
        <w:pStyle w:val="Heading1"/>
      </w:pPr>
      <w:r>
        <w:t>4. Контур SKU x канал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SKU / товарная позиция</w:t>
            </w:r>
          </w:p>
        </w:tc>
        <w:tc>
          <w:tcPr>
            <w:tcW w:type="dxa" w:w="1728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Канал</w:t>
            </w:r>
          </w:p>
        </w:tc>
        <w:tc>
          <w:tcPr>
            <w:tcW w:type="dxa" w:w="1728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Сигнал</w:t>
            </w:r>
          </w:p>
        </w:tc>
        <w:tc>
          <w:tcPr>
            <w:tcW w:type="dxa" w:w="1728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Причина</w:t>
            </w:r>
          </w:p>
        </w:tc>
        <w:tc>
          <w:tcPr>
            <w:tcW w:type="dxa" w:w="1728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Владелец</w:t>
            </w:r>
          </w:p>
        </w:tc>
        <w:tc>
          <w:tcPr>
            <w:tcW w:type="dxa" w:w="1728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Решение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[SKU 1]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[Канал]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красная / желтая / зеленая зона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[Комиссия, промо, запас, возврат, цена]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[ФИО / роль]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[оставить / изменить / закрыть / проверить]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[SKU 2]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[Канал]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красная / желтая / зеленая зона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[Комиссия, промо, запас, возврат, цена]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[ФИО / роль]</w:t>
            </w:r>
          </w:p>
        </w:tc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[оставить / изменить / закрыть / проверить]</w:t>
            </w:r>
          </w:p>
        </w:tc>
      </w:tr>
    </w:tbl>
    <w:p/>
    <w:p>
      <w:pPr>
        <w:pStyle w:val="Heading1"/>
      </w:pPr>
      <w:r>
        <w:t>5. 12 метрик диагностики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Метрика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Источник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Статус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Вывод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3"/>
              </w:rPr>
              <w:t>Нужна проверка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Net Margin / чистая маржа SKU x канал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рабочая книга, лист 12 метрик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факт / гипотеза / модельный расчет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[Вывод]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да / нет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Fee Stack / слои комиссий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рабочая книга, комиссии и удержания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факт / гипотеза / модельный расчет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[Вывод]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да / нет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Price Gap / ценовой разрыв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цены по каналам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факт / гипотеза / модельный расчет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[Вывод]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да / нет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Возвраты и списания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возвраты, склад, акты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факт / гипотеза / модельный расчет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[Вывод]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да / нет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Запас и оборачиваемость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остатки, продажи, сроки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факт / гипотеза / модельный расчет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[Вывод]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3"/>
              </w:rPr>
              <w:t>да / нет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vAlign w:val="center"/>
            <w:shd w:fill="FCEAEA"/>
          </w:tcPr>
          <w:p>
            <w:pPr>
              <w:spacing w:after="20" w:line="240" w:lineRule="auto"/>
            </w:pPr>
            <w:r>
              <w:rPr>
                <w:b/>
                <w:color w:val="1F4E79"/>
              </w:rPr>
              <w:t xml:space="preserve">Правило доказательности. </w:t>
            </w:r>
            <w:r>
              <w:t>Если метрика не подтверждена данными, она не может становиться основанием для финансового обещания или запуска Спринта.</w:t>
            </w:r>
          </w:p>
        </w:tc>
      </w:tr>
    </w:tbl>
    <w:p/>
    <w:p>
      <w:pPr>
        <w:pStyle w:val="Heading1"/>
      </w:pPr>
      <w:r>
        <w:t>6. Карта потерь P0-P3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Приоритет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Потеря / красная зона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Доказательство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Владелец</w:t>
            </w:r>
          </w:p>
        </w:tc>
        <w:tc>
          <w:tcPr>
            <w:tcW w:type="dxa" w:w="2074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Решение до Сессии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P0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[Критическая потеря или несводимость данных]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[Ссылка на лист / выгрузку]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[Роль]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[Стоп / срочное решение]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P1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[Сильная потеря прибыли]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[Ссылка на лист / выгрузку]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[Роль]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[Вынести на Сессию]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P2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[Средний риск]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[Ссылка на лист / выгрузку]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[Роль]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[Проверить в Спринте]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P3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[Низкий риск / наблюдение]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[Ссылка на лист / выгрузку]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[Роль]</w:t>
            </w:r>
          </w:p>
        </w:tc>
        <w:tc>
          <w:tcPr>
            <w:tcW w:type="dxa" w:w="207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[Оставить в мониторинге]</w:t>
            </w:r>
          </w:p>
        </w:tc>
      </w:tr>
    </w:tbl>
    <w:p/>
    <w:p>
      <w:pPr>
        <w:pStyle w:val="Heading1"/>
      </w:pPr>
      <w:r>
        <w:t>7. Контрольный переход / контрольный вердикт / gate-вердикт после Диагностики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Вердикт</w:t>
            </w:r>
          </w:p>
        </w:tc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Когда применяется</w:t>
            </w:r>
          </w:p>
        </w:tc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Что получает клиент</w:t>
            </w:r>
          </w:p>
        </w:tc>
        <w:tc>
          <w:tcPr>
            <w:tcW w:type="dxa" w:w="2592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Следующий документ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Сессия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Цена ошибки подтверждена, данные достаточны, есть спонсор и владельцы.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Решение о переходе к управленческой Сессии.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Контур_Маржи_Сессия_Продукт_Описание_v2.0.docx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Пауза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Потери вероятны, но данных или полномочий недостаточно.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Список условий возврата к проекту.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План сбора данных / управленческое решение клиента.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Стоп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Данные несводимы или клиент не готов принимать решения.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Честный отказ от продолжения технологии.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Итоговый отчет Диагностики как завершенный результат.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Сбор данных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Нужен отдельный технический этап подготовки данных.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Карта недостающих данных и ответственных.</w:t>
            </w:r>
          </w:p>
        </w:tc>
        <w:tc>
          <w:tcPr>
            <w:tcW w:type="dxa" w:w="259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Карта данных и список требований.</w:t>
            </w:r>
          </w:p>
        </w:tc>
      </w:tr>
    </w:tbl>
    <w:p/>
    <w:p>
      <w:pPr>
        <w:pStyle w:val="Heading1"/>
      </w:pPr>
      <w:r>
        <w:t>8. Границы обещаний</w:t>
      </w:r>
    </w:p>
    <w:p>
      <w:pPr>
        <w:pStyle w:val="ListBullet"/>
      </w:pPr>
      <w:r>
        <w:t>Нельзя обещать рост прибыли до проверки данных, решений и внедрения.</w:t>
      </w:r>
    </w:p>
    <w:p>
      <w:pPr>
        <w:pStyle w:val="ListBullet"/>
      </w:pPr>
      <w:r>
        <w:t>Нельзя выдавать модельный расчет за подтвержденный финансовый эффект.</w:t>
      </w:r>
    </w:p>
    <w:p>
      <w:pPr>
        <w:pStyle w:val="ListBullet"/>
      </w:pPr>
      <w:r>
        <w:t>Нельзя продавать Сессию как автоматический следующий шаг без контрольный вердикт / gate-вердикта.</w:t>
      </w:r>
    </w:p>
    <w:p>
      <w:pPr>
        <w:pStyle w:val="ListBullet"/>
      </w:pPr>
      <w:r>
        <w:t>Можно обещать карту данных, карту потерь, расчетную прозрачность, вердикт и следующий управленческий шаг.</w:t>
      </w:r>
    </w:p>
    <w:p>
      <w:pPr>
        <w:pStyle w:val="Heading1"/>
      </w:pPr>
      <w:r>
        <w:t>9. Чек-лист готовности отчета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Проверка</w:t>
            </w:r>
          </w:p>
        </w:tc>
        <w:tc>
          <w:tcPr>
            <w:tcW w:type="dxa" w:w="3457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Да / нет</w:t>
            </w:r>
          </w:p>
        </w:tc>
        <w:tc>
          <w:tcPr>
            <w:tcW w:type="dxa" w:w="3457"/>
            <w:vAlign w:val="center"/>
            <w:shd w:fill="EAF1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F4E79"/>
                <w:sz w:val="14"/>
              </w:rPr>
              <w:t>Комментарий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Указаны границы контура SKU x канал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Показано качество данных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Есть карта потерь P0-P3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12 метрик имеют статус доказательности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Есть контрольный вердикт / gate-вердикт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  <w:t>Финансовые claims / утверждения не выходят за данные</w:t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  <w:tc>
          <w:tcPr>
            <w:tcW w:type="dxa" w:w="3457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222222"/>
                <w:sz w:val="14"/>
              </w:rPr>
            </w:r>
          </w:p>
        </w:tc>
      </w:tr>
    </w:tbl>
    <w:p/>
    <w:sectPr w:rsidR="00FC693F" w:rsidRPr="0006063C" w:rsidSect="00034616">
      <w:pgSz w:w="12240" w:h="158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