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rPr>
          <w:rFonts w:ascii="Arial" w:hAnsi="Arial"/>
          <w:b/>
          <w:color w:val="1F4E79"/>
          <w:sz w:val="48"/>
        </w:rPr>
        <w:t>Контур Маржи</w:t>
      </w:r>
    </w:p>
    <w:p>
      <w:r>
        <w:rPr>
          <w:rFonts w:ascii="Arial" w:hAnsi="Arial"/>
          <w:b/>
          <w:color w:val="212730"/>
          <w:sz w:val="27"/>
        </w:rPr>
        <w:t>Диагностика - клиентский лист платного входа v2.0</w:t>
      </w:r>
    </w:p>
    <w:tbl>
      <w:tblPr>
        <w:tblW w:type="auto" w:w="0"/>
        <w:tblLook w:firstColumn="1" w:firstRow="1" w:lastColumn="0" w:lastRow="0" w:noHBand="0" w:noVBand="1" w:val="04A0"/>
      </w:tblPr>
      <w:tblGrid>
        <w:gridCol w:w="10482"/>
      </w:tblGrid>
      <w:tr>
        <w:tc>
          <w:tcPr>
            <w:tcW w:type="dxa" w:w="10482"/>
            <w:shd w:fill="E9F5EA"/>
            <w:tcBorders>
              <w:top w:val="single" w:sz="4" w:space="0" w:color="D6DCE2"/>
              <w:left w:val="single" w:sz="4" w:space="0" w:color="D6DCE2"/>
              <w:bottom w:val="single" w:sz="4" w:space="0" w:color="D6DCE2"/>
              <w:right w:val="single" w:sz="4" w:space="0" w:color="D6DCE2"/>
              <w:insideH w:val="single" w:sz="4" w:space="0" w:color="D6DCE2"/>
              <w:insideV w:val="single" w:sz="4" w:space="0" w:color="D6DCE2"/>
            </w:tcBorders>
          </w:tcPr>
          <w:p>
            <w:r>
              <w:rPr>
                <w:rFonts w:ascii="Arial" w:hAnsi="Arial"/>
                <w:b/>
                <w:color w:val="1F4E79"/>
                <w:sz w:val="19"/>
              </w:rPr>
              <w:t xml:space="preserve">Назначение. </w:t>
            </w:r>
            <w:r>
              <w:rPr>
                <w:rFonts w:ascii="Arial" w:hAnsi="Arial"/>
                <w:color w:val="212730"/>
                <w:sz w:val="19"/>
              </w:rPr>
              <w:t>Короткий клиентский документ: за что платит клиент, что получает после Диагностики и почему следующий этап не продается автоматически.</w:t>
            </w:r>
          </w:p>
        </w:tc>
      </w:tr>
    </w:tbl>
    <w:p>
      <w:pPr>
        <w:spacing w:after="20"/>
      </w:pPr>
    </w:p>
    <w:p>
      <w:pPr>
        <w:pStyle w:val="Heading1"/>
      </w:pPr>
      <w:r>
        <w:t>1. Что решает Диагностика</w:t>
      </w:r>
    </w:p>
    <w:tbl>
      <w:tblPr>
        <w:tblW w:type="auto" w:w="0"/>
        <w:tblLook w:firstColumn="1" w:firstRow="1" w:lastColumn="0" w:lastRow="0" w:noHBand="0" w:noVBand="1" w:val="04A0"/>
      </w:tblPr>
      <w:tblGrid>
        <w:gridCol w:w="10482"/>
      </w:tblGrid>
      <w:tr>
        <w:tc>
          <w:tcPr>
            <w:tcW w:type="dxa" w:w="10482"/>
            <w:shd w:fill="FFF4D8"/>
            <w:tcBorders>
              <w:top w:val="single" w:sz="4" w:space="0" w:color="D6DCE2"/>
              <w:left w:val="single" w:sz="4" w:space="0" w:color="D6DCE2"/>
              <w:bottom w:val="single" w:sz="4" w:space="0" w:color="D6DCE2"/>
              <w:right w:val="single" w:sz="4" w:space="0" w:color="D6DCE2"/>
              <w:insideH w:val="single" w:sz="4" w:space="0" w:color="D6DCE2"/>
              <w:insideV w:val="single" w:sz="4" w:space="0" w:color="D6DCE2"/>
            </w:tcBorders>
          </w:tcPr>
          <w:p>
            <w:r>
              <w:rPr>
                <w:rFonts w:ascii="Arial" w:hAnsi="Arial"/>
                <w:b/>
                <w:color w:val="1F4E79"/>
                <w:sz w:val="19"/>
              </w:rPr>
              <w:t xml:space="preserve">Суть. </w:t>
            </w:r>
            <w:r>
              <w:rPr>
                <w:rFonts w:ascii="Arial" w:hAnsi="Arial"/>
                <w:color w:val="212730"/>
                <w:sz w:val="19"/>
              </w:rPr>
              <w:t>Диагностика показывает, где ассортимент может терять прибыль: SKU / товарная позиция, канал, цена, запас, комиссия, возврат, промо или отсутствие владельца решения.</w:t>
            </w:r>
          </w:p>
        </w:tc>
      </w:tr>
    </w:tbl>
    <w:p>
      <w:pPr>
        <w:spacing w:after="20"/>
      </w:pP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3494"/>
        <w:gridCol w:w="3494"/>
        <w:gridCol w:w="3494"/>
      </w:tblGrid>
      <w:tr>
        <w:tc>
          <w:tcPr>
            <w:tcW w:type="dxa" w:w="2665"/>
            <w:shd w:fill="E8F0F7"/>
            <w:vAlign w:val="top"/>
            <w:tcBorders>
              <w:top w:val="single" w:sz="4" w:space="0" w:color="D6DCE2"/>
              <w:left w:val="single" w:sz="4" w:space="0" w:color="D6DCE2"/>
              <w:bottom w:val="single" w:sz="4" w:space="0" w:color="D6DCE2"/>
              <w:right w:val="single" w:sz="4" w:space="0" w:color="D6DCE2"/>
              <w:insideH w:val="single" w:sz="4" w:space="0" w:color="D6DCE2"/>
              <w:insideV w:val="single" w:sz="4" w:space="0" w:color="D6DCE2"/>
            </w:tcBorders>
          </w:tcPr>
          <w:p>
            <w:pPr>
              <w:spacing w:after="0"/>
            </w:pPr>
            <w:r>
              <w:rPr>
                <w:rFonts w:ascii="Arial" w:hAnsi="Arial"/>
                <w:b/>
                <w:color w:val="1F4E79"/>
                <w:sz w:val="16"/>
              </w:rPr>
              <w:t>Клиентская боль</w:t>
            </w:r>
          </w:p>
        </w:tc>
        <w:tc>
          <w:tcPr>
            <w:tcW w:type="dxa" w:w="3288"/>
            <w:shd w:fill="E8F0F7"/>
            <w:vAlign w:val="top"/>
            <w:tcBorders>
              <w:top w:val="single" w:sz="4" w:space="0" w:color="D6DCE2"/>
              <w:left w:val="single" w:sz="4" w:space="0" w:color="D6DCE2"/>
              <w:bottom w:val="single" w:sz="4" w:space="0" w:color="D6DCE2"/>
              <w:right w:val="single" w:sz="4" w:space="0" w:color="D6DCE2"/>
              <w:insideH w:val="single" w:sz="4" w:space="0" w:color="D6DCE2"/>
              <w:insideV w:val="single" w:sz="4" w:space="0" w:color="D6DCE2"/>
            </w:tcBorders>
          </w:tcPr>
          <w:p>
            <w:pPr>
              <w:spacing w:after="0"/>
            </w:pPr>
            <w:r>
              <w:rPr>
                <w:rFonts w:ascii="Arial" w:hAnsi="Arial"/>
                <w:b/>
                <w:color w:val="1F4E79"/>
                <w:sz w:val="16"/>
              </w:rPr>
              <w:t>Что проверяем</w:t>
            </w:r>
          </w:p>
        </w:tc>
        <w:tc>
          <w:tcPr>
            <w:tcW w:type="dxa" w:w="3288"/>
            <w:shd w:fill="E8F0F7"/>
            <w:vAlign w:val="top"/>
            <w:tcBorders>
              <w:top w:val="single" w:sz="4" w:space="0" w:color="D6DCE2"/>
              <w:left w:val="single" w:sz="4" w:space="0" w:color="D6DCE2"/>
              <w:bottom w:val="single" w:sz="4" w:space="0" w:color="D6DCE2"/>
              <w:right w:val="single" w:sz="4" w:space="0" w:color="D6DCE2"/>
              <w:insideH w:val="single" w:sz="4" w:space="0" w:color="D6DCE2"/>
              <w:insideV w:val="single" w:sz="4" w:space="0" w:color="D6DCE2"/>
            </w:tcBorders>
          </w:tcPr>
          <w:p>
            <w:pPr>
              <w:spacing w:after="0"/>
            </w:pPr>
            <w:r>
              <w:rPr>
                <w:rFonts w:ascii="Arial" w:hAnsi="Arial"/>
                <w:b/>
                <w:color w:val="1F4E79"/>
                <w:sz w:val="16"/>
              </w:rPr>
              <w:t>Что появляется на выходе</w:t>
            </w:r>
          </w:p>
        </w:tc>
      </w:tr>
      <w:tr>
        <w:tc>
          <w:tcPr>
            <w:tcW w:type="dxa" w:w="2665"/>
            <w:vAlign w:val="top"/>
            <w:tcBorders>
              <w:top w:val="single" w:sz="4" w:space="0" w:color="D6DCE2"/>
              <w:left w:val="single" w:sz="4" w:space="0" w:color="D6DCE2"/>
              <w:bottom w:val="single" w:sz="4" w:space="0" w:color="D6DCE2"/>
              <w:right w:val="single" w:sz="4" w:space="0" w:color="D6DCE2"/>
              <w:insideH w:val="single" w:sz="4" w:space="0" w:color="D6DCE2"/>
              <w:insideV w:val="single" w:sz="4" w:space="0" w:color="D6DCE2"/>
            </w:tcBorders>
          </w:tcPr>
          <w:p>
            <w:pPr>
              <w:spacing w:after="0"/>
            </w:pPr>
            <w:r>
              <w:rPr>
                <w:rFonts w:ascii="Arial" w:hAnsi="Arial"/>
                <w:color w:val="212730"/>
                <w:sz w:val="16"/>
              </w:rPr>
              <w:t>Продажи растут, прибыль неясна</w:t>
            </w:r>
          </w:p>
        </w:tc>
        <w:tc>
          <w:tcPr>
            <w:tcW w:type="dxa" w:w="3288"/>
            <w:vAlign w:val="top"/>
            <w:tcBorders>
              <w:top w:val="single" w:sz="4" w:space="0" w:color="D6DCE2"/>
              <w:left w:val="single" w:sz="4" w:space="0" w:color="D6DCE2"/>
              <w:bottom w:val="single" w:sz="4" w:space="0" w:color="D6DCE2"/>
              <w:right w:val="single" w:sz="4" w:space="0" w:color="D6DCE2"/>
              <w:insideH w:val="single" w:sz="4" w:space="0" w:color="D6DCE2"/>
              <w:insideV w:val="single" w:sz="4" w:space="0" w:color="D6DCE2"/>
            </w:tcBorders>
          </w:tcPr>
          <w:p>
            <w:pPr>
              <w:spacing w:after="0"/>
            </w:pPr>
            <w:r>
              <w:rPr>
                <w:rFonts w:ascii="Arial" w:hAnsi="Arial"/>
                <w:color w:val="212730"/>
                <w:sz w:val="16"/>
              </w:rPr>
              <w:t>продажи, цена, себестоимость, комиссия, возврат</w:t>
            </w:r>
          </w:p>
        </w:tc>
        <w:tc>
          <w:tcPr>
            <w:tcW w:type="dxa" w:w="3288"/>
            <w:vAlign w:val="top"/>
            <w:tcBorders>
              <w:top w:val="single" w:sz="4" w:space="0" w:color="D6DCE2"/>
              <w:left w:val="single" w:sz="4" w:space="0" w:color="D6DCE2"/>
              <w:bottom w:val="single" w:sz="4" w:space="0" w:color="D6DCE2"/>
              <w:right w:val="single" w:sz="4" w:space="0" w:color="D6DCE2"/>
              <w:insideH w:val="single" w:sz="4" w:space="0" w:color="D6DCE2"/>
              <w:insideV w:val="single" w:sz="4" w:space="0" w:color="D6DCE2"/>
            </w:tcBorders>
          </w:tcPr>
          <w:p>
            <w:pPr>
              <w:spacing w:after="0"/>
            </w:pPr>
            <w:r>
              <w:rPr>
                <w:rFonts w:ascii="Arial" w:hAnsi="Arial"/>
                <w:color w:val="212730"/>
                <w:sz w:val="16"/>
              </w:rPr>
              <w:t>карта потерь и красные зоны</w:t>
            </w:r>
          </w:p>
        </w:tc>
      </w:tr>
      <w:tr>
        <w:tc>
          <w:tcPr>
            <w:tcW w:type="dxa" w:w="2665"/>
            <w:vAlign w:val="top"/>
            <w:tcBorders>
              <w:top w:val="single" w:sz="4" w:space="0" w:color="D6DCE2"/>
              <w:left w:val="single" w:sz="4" w:space="0" w:color="D6DCE2"/>
              <w:bottom w:val="single" w:sz="4" w:space="0" w:color="D6DCE2"/>
              <w:right w:val="single" w:sz="4" w:space="0" w:color="D6DCE2"/>
              <w:insideH w:val="single" w:sz="4" w:space="0" w:color="D6DCE2"/>
              <w:insideV w:val="single" w:sz="4" w:space="0" w:color="D6DCE2"/>
            </w:tcBorders>
          </w:tcPr>
          <w:p>
            <w:pPr>
              <w:spacing w:after="0"/>
            </w:pPr>
            <w:r>
              <w:rPr>
                <w:rFonts w:ascii="Arial" w:hAnsi="Arial"/>
                <w:color w:val="212730"/>
                <w:sz w:val="16"/>
              </w:rPr>
              <w:t>Каналы конфликтуют ценой</w:t>
            </w:r>
          </w:p>
        </w:tc>
        <w:tc>
          <w:tcPr>
            <w:tcW w:type="dxa" w:w="3288"/>
            <w:vAlign w:val="top"/>
            <w:tcBorders>
              <w:top w:val="single" w:sz="4" w:space="0" w:color="D6DCE2"/>
              <w:left w:val="single" w:sz="4" w:space="0" w:color="D6DCE2"/>
              <w:bottom w:val="single" w:sz="4" w:space="0" w:color="D6DCE2"/>
              <w:right w:val="single" w:sz="4" w:space="0" w:color="D6DCE2"/>
              <w:insideH w:val="single" w:sz="4" w:space="0" w:color="D6DCE2"/>
              <w:insideV w:val="single" w:sz="4" w:space="0" w:color="D6DCE2"/>
            </w:tcBorders>
          </w:tcPr>
          <w:p>
            <w:pPr>
              <w:spacing w:after="0"/>
            </w:pPr>
            <w:r>
              <w:rPr>
                <w:rFonts w:ascii="Arial" w:hAnsi="Arial"/>
                <w:color w:val="212730"/>
                <w:sz w:val="16"/>
              </w:rPr>
              <w:t>SKU / товарная позиция x канал, ценовой разрыв, промо</w:t>
            </w:r>
          </w:p>
        </w:tc>
        <w:tc>
          <w:tcPr>
            <w:tcW w:type="dxa" w:w="3288"/>
            <w:vAlign w:val="top"/>
            <w:tcBorders>
              <w:top w:val="single" w:sz="4" w:space="0" w:color="D6DCE2"/>
              <w:left w:val="single" w:sz="4" w:space="0" w:color="D6DCE2"/>
              <w:bottom w:val="single" w:sz="4" w:space="0" w:color="D6DCE2"/>
              <w:right w:val="single" w:sz="4" w:space="0" w:color="D6DCE2"/>
              <w:insideH w:val="single" w:sz="4" w:space="0" w:color="D6DCE2"/>
              <w:insideV w:val="single" w:sz="4" w:space="0" w:color="D6DCE2"/>
            </w:tcBorders>
          </w:tcPr>
          <w:p>
            <w:pPr>
              <w:spacing w:after="0"/>
            </w:pPr>
            <w:r>
              <w:rPr>
                <w:rFonts w:ascii="Arial" w:hAnsi="Arial"/>
                <w:color w:val="212730"/>
                <w:sz w:val="16"/>
              </w:rPr>
              <w:t>список конфликтов и гипотез решений</w:t>
            </w:r>
          </w:p>
        </w:tc>
      </w:tr>
      <w:tr>
        <w:tc>
          <w:tcPr>
            <w:tcW w:type="dxa" w:w="2665"/>
            <w:vAlign w:val="top"/>
            <w:tcBorders>
              <w:top w:val="single" w:sz="4" w:space="0" w:color="D6DCE2"/>
              <w:left w:val="single" w:sz="4" w:space="0" w:color="D6DCE2"/>
              <w:bottom w:val="single" w:sz="4" w:space="0" w:color="D6DCE2"/>
              <w:right w:val="single" w:sz="4" w:space="0" w:color="D6DCE2"/>
              <w:insideH w:val="single" w:sz="4" w:space="0" w:color="D6DCE2"/>
              <w:insideV w:val="single" w:sz="4" w:space="0" w:color="D6DCE2"/>
            </w:tcBorders>
          </w:tcPr>
          <w:p>
            <w:pPr>
              <w:spacing w:after="0"/>
            </w:pPr>
            <w:r>
              <w:rPr>
                <w:rFonts w:ascii="Arial" w:hAnsi="Arial"/>
                <w:color w:val="212730"/>
                <w:sz w:val="16"/>
              </w:rPr>
              <w:t>Промо дает оборот без вклада</w:t>
            </w:r>
          </w:p>
        </w:tc>
        <w:tc>
          <w:tcPr>
            <w:tcW w:type="dxa" w:w="3288"/>
            <w:vAlign w:val="top"/>
            <w:tcBorders>
              <w:top w:val="single" w:sz="4" w:space="0" w:color="D6DCE2"/>
              <w:left w:val="single" w:sz="4" w:space="0" w:color="D6DCE2"/>
              <w:bottom w:val="single" w:sz="4" w:space="0" w:color="D6DCE2"/>
              <w:right w:val="single" w:sz="4" w:space="0" w:color="D6DCE2"/>
              <w:insideH w:val="single" w:sz="4" w:space="0" w:color="D6DCE2"/>
              <w:insideV w:val="single" w:sz="4" w:space="0" w:color="D6DCE2"/>
            </w:tcBorders>
          </w:tcPr>
          <w:p>
            <w:pPr>
              <w:spacing w:after="0"/>
            </w:pPr>
            <w:r>
              <w:rPr>
                <w:rFonts w:ascii="Arial" w:hAnsi="Arial"/>
                <w:color w:val="212730"/>
                <w:sz w:val="16"/>
              </w:rPr>
              <w:t>скидка, компенсации, логистика, комиссия</w:t>
            </w:r>
          </w:p>
        </w:tc>
        <w:tc>
          <w:tcPr>
            <w:tcW w:type="dxa" w:w="3288"/>
            <w:vAlign w:val="top"/>
            <w:tcBorders>
              <w:top w:val="single" w:sz="4" w:space="0" w:color="D6DCE2"/>
              <w:left w:val="single" w:sz="4" w:space="0" w:color="D6DCE2"/>
              <w:bottom w:val="single" w:sz="4" w:space="0" w:color="D6DCE2"/>
              <w:right w:val="single" w:sz="4" w:space="0" w:color="D6DCE2"/>
              <w:insideH w:val="single" w:sz="4" w:space="0" w:color="D6DCE2"/>
              <w:insideV w:val="single" w:sz="4" w:space="0" w:color="D6DCE2"/>
            </w:tcBorders>
          </w:tcPr>
          <w:p>
            <w:pPr>
              <w:spacing w:after="0"/>
            </w:pPr>
            <w:r>
              <w:rPr>
                <w:rFonts w:ascii="Arial" w:hAnsi="Arial"/>
                <w:color w:val="212730"/>
                <w:sz w:val="16"/>
              </w:rPr>
              <w:t>решение: проверять, менять, остановить или вынести на Сессию</w:t>
            </w:r>
          </w:p>
        </w:tc>
      </w:tr>
      <w:tr>
        <w:tc>
          <w:tcPr>
            <w:tcW w:type="dxa" w:w="2665"/>
            <w:vAlign w:val="top"/>
            <w:tcBorders>
              <w:top w:val="single" w:sz="4" w:space="0" w:color="D6DCE2"/>
              <w:left w:val="single" w:sz="4" w:space="0" w:color="D6DCE2"/>
              <w:bottom w:val="single" w:sz="4" w:space="0" w:color="D6DCE2"/>
              <w:right w:val="single" w:sz="4" w:space="0" w:color="D6DCE2"/>
              <w:insideH w:val="single" w:sz="4" w:space="0" w:color="D6DCE2"/>
              <w:insideV w:val="single" w:sz="4" w:space="0" w:color="D6DCE2"/>
            </w:tcBorders>
          </w:tcPr>
          <w:p>
            <w:pPr>
              <w:spacing w:after="0"/>
            </w:pPr>
            <w:r>
              <w:rPr>
                <w:rFonts w:ascii="Arial" w:hAnsi="Arial"/>
                <w:color w:val="212730"/>
                <w:sz w:val="16"/>
              </w:rPr>
              <w:t>Данные разрознены</w:t>
            </w:r>
          </w:p>
        </w:tc>
        <w:tc>
          <w:tcPr>
            <w:tcW w:type="dxa" w:w="3288"/>
            <w:vAlign w:val="top"/>
            <w:tcBorders>
              <w:top w:val="single" w:sz="4" w:space="0" w:color="D6DCE2"/>
              <w:left w:val="single" w:sz="4" w:space="0" w:color="D6DCE2"/>
              <w:bottom w:val="single" w:sz="4" w:space="0" w:color="D6DCE2"/>
              <w:right w:val="single" w:sz="4" w:space="0" w:color="D6DCE2"/>
              <w:insideH w:val="single" w:sz="4" w:space="0" w:color="D6DCE2"/>
              <w:insideV w:val="single" w:sz="4" w:space="0" w:color="D6DCE2"/>
            </w:tcBorders>
          </w:tcPr>
          <w:p>
            <w:pPr>
              <w:spacing w:after="0"/>
            </w:pPr>
            <w:r>
              <w:rPr>
                <w:rFonts w:ascii="Arial" w:hAnsi="Arial"/>
                <w:color w:val="212730"/>
                <w:sz w:val="16"/>
              </w:rPr>
              <w:t>сводимость продаж, запасов, комиссий и SKU</w:t>
            </w:r>
          </w:p>
        </w:tc>
        <w:tc>
          <w:tcPr>
            <w:tcW w:type="dxa" w:w="3288"/>
            <w:vAlign w:val="top"/>
            <w:tcBorders>
              <w:top w:val="single" w:sz="4" w:space="0" w:color="D6DCE2"/>
              <w:left w:val="single" w:sz="4" w:space="0" w:color="D6DCE2"/>
              <w:bottom w:val="single" w:sz="4" w:space="0" w:color="D6DCE2"/>
              <w:right w:val="single" w:sz="4" w:space="0" w:color="D6DCE2"/>
              <w:insideH w:val="single" w:sz="4" w:space="0" w:color="D6DCE2"/>
              <w:insideV w:val="single" w:sz="4" w:space="0" w:color="D6DCE2"/>
            </w:tcBorders>
          </w:tcPr>
          <w:p>
            <w:pPr>
              <w:spacing w:after="0"/>
            </w:pPr>
            <w:r>
              <w:rPr>
                <w:rFonts w:ascii="Arial" w:hAnsi="Arial"/>
                <w:color w:val="212730"/>
                <w:sz w:val="16"/>
              </w:rPr>
              <w:t>вердикт: идти дальше, пауза, стоп или собрать данные</w:t>
            </w:r>
          </w:p>
        </w:tc>
      </w:tr>
    </w:tbl>
    <w:p>
      <w:pPr>
        <w:pStyle w:val="Heading1"/>
      </w:pPr>
      <w:r>
        <w:t>2. Что получает клиент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5241"/>
        <w:gridCol w:w="5241"/>
      </w:tblGrid>
      <w:tr>
        <w:tc>
          <w:tcPr>
            <w:tcW w:type="dxa" w:w="2891"/>
            <w:shd w:fill="E8F0F7"/>
            <w:vAlign w:val="top"/>
            <w:tcBorders>
              <w:top w:val="single" w:sz="4" w:space="0" w:color="D6DCE2"/>
              <w:left w:val="single" w:sz="4" w:space="0" w:color="D6DCE2"/>
              <w:bottom w:val="single" w:sz="4" w:space="0" w:color="D6DCE2"/>
              <w:right w:val="single" w:sz="4" w:space="0" w:color="D6DCE2"/>
              <w:insideH w:val="single" w:sz="4" w:space="0" w:color="D6DCE2"/>
              <w:insideV w:val="single" w:sz="4" w:space="0" w:color="D6DCE2"/>
            </w:tcBorders>
          </w:tcPr>
          <w:p>
            <w:pPr>
              <w:spacing w:after="0"/>
            </w:pPr>
            <w:r>
              <w:rPr>
                <w:rFonts w:ascii="Arial" w:hAnsi="Arial"/>
                <w:b/>
                <w:color w:val="1F4E79"/>
                <w:sz w:val="16"/>
              </w:rPr>
              <w:t>Артефакт</w:t>
            </w:r>
          </w:p>
        </w:tc>
        <w:tc>
          <w:tcPr>
            <w:tcW w:type="dxa" w:w="6350"/>
            <w:shd w:fill="E8F0F7"/>
            <w:vAlign w:val="top"/>
            <w:tcBorders>
              <w:top w:val="single" w:sz="4" w:space="0" w:color="D6DCE2"/>
              <w:left w:val="single" w:sz="4" w:space="0" w:color="D6DCE2"/>
              <w:bottom w:val="single" w:sz="4" w:space="0" w:color="D6DCE2"/>
              <w:right w:val="single" w:sz="4" w:space="0" w:color="D6DCE2"/>
              <w:insideH w:val="single" w:sz="4" w:space="0" w:color="D6DCE2"/>
              <w:insideV w:val="single" w:sz="4" w:space="0" w:color="D6DCE2"/>
            </w:tcBorders>
          </w:tcPr>
          <w:p>
            <w:pPr>
              <w:spacing w:after="0"/>
            </w:pPr>
            <w:r>
              <w:rPr>
                <w:rFonts w:ascii="Arial" w:hAnsi="Arial"/>
                <w:b/>
                <w:color w:val="1F4E79"/>
                <w:sz w:val="16"/>
              </w:rPr>
              <w:t>Зачем нужен</w:t>
            </w:r>
          </w:p>
        </w:tc>
      </w:tr>
      <w:tr>
        <w:tc>
          <w:tcPr>
            <w:tcW w:type="dxa" w:w="2891"/>
            <w:vAlign w:val="top"/>
            <w:tcBorders>
              <w:top w:val="single" w:sz="4" w:space="0" w:color="D6DCE2"/>
              <w:left w:val="single" w:sz="4" w:space="0" w:color="D6DCE2"/>
              <w:bottom w:val="single" w:sz="4" w:space="0" w:color="D6DCE2"/>
              <w:right w:val="single" w:sz="4" w:space="0" w:color="D6DCE2"/>
              <w:insideH w:val="single" w:sz="4" w:space="0" w:color="D6DCE2"/>
              <w:insideV w:val="single" w:sz="4" w:space="0" w:color="D6DCE2"/>
            </w:tcBorders>
          </w:tcPr>
          <w:p>
            <w:pPr>
              <w:spacing w:after="0"/>
            </w:pPr>
            <w:r>
              <w:rPr>
                <w:rFonts w:ascii="Arial" w:hAnsi="Arial"/>
                <w:color w:val="212730"/>
                <w:sz w:val="16"/>
              </w:rPr>
              <w:t>карта данных</w:t>
            </w:r>
          </w:p>
        </w:tc>
        <w:tc>
          <w:tcPr>
            <w:tcW w:type="dxa" w:w="6350"/>
            <w:vAlign w:val="top"/>
            <w:tcBorders>
              <w:top w:val="single" w:sz="4" w:space="0" w:color="D6DCE2"/>
              <w:left w:val="single" w:sz="4" w:space="0" w:color="D6DCE2"/>
              <w:bottom w:val="single" w:sz="4" w:space="0" w:color="D6DCE2"/>
              <w:right w:val="single" w:sz="4" w:space="0" w:color="D6DCE2"/>
              <w:insideH w:val="single" w:sz="4" w:space="0" w:color="D6DCE2"/>
              <w:insideV w:val="single" w:sz="4" w:space="0" w:color="D6DCE2"/>
            </w:tcBorders>
          </w:tcPr>
          <w:p>
            <w:pPr>
              <w:spacing w:after="0"/>
            </w:pPr>
            <w:r>
              <w:rPr>
                <w:rFonts w:ascii="Arial" w:hAnsi="Arial"/>
                <w:color w:val="212730"/>
                <w:sz w:val="16"/>
              </w:rPr>
              <w:t>понять, какие данные можно использовать, а какие ограничены</w:t>
            </w:r>
          </w:p>
        </w:tc>
      </w:tr>
      <w:tr>
        <w:tc>
          <w:tcPr>
            <w:tcW w:type="dxa" w:w="2891"/>
            <w:vAlign w:val="top"/>
            <w:tcBorders>
              <w:top w:val="single" w:sz="4" w:space="0" w:color="D6DCE2"/>
              <w:left w:val="single" w:sz="4" w:space="0" w:color="D6DCE2"/>
              <w:bottom w:val="single" w:sz="4" w:space="0" w:color="D6DCE2"/>
              <w:right w:val="single" w:sz="4" w:space="0" w:color="D6DCE2"/>
              <w:insideH w:val="single" w:sz="4" w:space="0" w:color="D6DCE2"/>
              <w:insideV w:val="single" w:sz="4" w:space="0" w:color="D6DCE2"/>
            </w:tcBorders>
          </w:tcPr>
          <w:p>
            <w:pPr>
              <w:spacing w:after="0"/>
            </w:pPr>
            <w:r>
              <w:rPr>
                <w:rFonts w:ascii="Arial" w:hAnsi="Arial"/>
                <w:color w:val="212730"/>
                <w:sz w:val="16"/>
              </w:rPr>
              <w:t>SKU / товарная позиция x канал</w:t>
            </w:r>
          </w:p>
        </w:tc>
        <w:tc>
          <w:tcPr>
            <w:tcW w:type="dxa" w:w="6350"/>
            <w:vAlign w:val="top"/>
            <w:tcBorders>
              <w:top w:val="single" w:sz="4" w:space="0" w:color="D6DCE2"/>
              <w:left w:val="single" w:sz="4" w:space="0" w:color="D6DCE2"/>
              <w:bottom w:val="single" w:sz="4" w:space="0" w:color="D6DCE2"/>
              <w:right w:val="single" w:sz="4" w:space="0" w:color="D6DCE2"/>
              <w:insideH w:val="single" w:sz="4" w:space="0" w:color="D6DCE2"/>
              <w:insideV w:val="single" w:sz="4" w:space="0" w:color="D6DCE2"/>
            </w:tcBorders>
          </w:tcPr>
          <w:p>
            <w:pPr>
              <w:spacing w:after="0"/>
            </w:pPr>
            <w:r>
              <w:rPr>
                <w:rFonts w:ascii="Arial" w:hAnsi="Arial"/>
                <w:color w:val="212730"/>
                <w:sz w:val="16"/>
              </w:rPr>
              <w:t>увидеть минимальную единицу анализа</w:t>
            </w:r>
          </w:p>
        </w:tc>
      </w:tr>
      <w:tr>
        <w:tc>
          <w:tcPr>
            <w:tcW w:type="dxa" w:w="2891"/>
            <w:vAlign w:val="top"/>
            <w:tcBorders>
              <w:top w:val="single" w:sz="4" w:space="0" w:color="D6DCE2"/>
              <w:left w:val="single" w:sz="4" w:space="0" w:color="D6DCE2"/>
              <w:bottom w:val="single" w:sz="4" w:space="0" w:color="D6DCE2"/>
              <w:right w:val="single" w:sz="4" w:space="0" w:color="D6DCE2"/>
              <w:insideH w:val="single" w:sz="4" w:space="0" w:color="D6DCE2"/>
              <w:insideV w:val="single" w:sz="4" w:space="0" w:color="D6DCE2"/>
            </w:tcBorders>
          </w:tcPr>
          <w:p>
            <w:pPr>
              <w:spacing w:after="0"/>
            </w:pPr>
            <w:r>
              <w:rPr>
                <w:rFonts w:ascii="Arial" w:hAnsi="Arial"/>
                <w:color w:val="212730"/>
                <w:sz w:val="16"/>
              </w:rPr>
              <w:t>12 метрик</w:t>
            </w:r>
          </w:p>
        </w:tc>
        <w:tc>
          <w:tcPr>
            <w:tcW w:type="dxa" w:w="6350"/>
            <w:vAlign w:val="top"/>
            <w:tcBorders>
              <w:top w:val="single" w:sz="4" w:space="0" w:color="D6DCE2"/>
              <w:left w:val="single" w:sz="4" w:space="0" w:color="D6DCE2"/>
              <w:bottom w:val="single" w:sz="4" w:space="0" w:color="D6DCE2"/>
              <w:right w:val="single" w:sz="4" w:space="0" w:color="D6DCE2"/>
              <w:insideH w:val="single" w:sz="4" w:space="0" w:color="D6DCE2"/>
              <w:insideV w:val="single" w:sz="4" w:space="0" w:color="D6DCE2"/>
            </w:tcBorders>
          </w:tcPr>
          <w:p>
            <w:pPr>
              <w:spacing w:after="0"/>
            </w:pPr>
            <w:r>
              <w:rPr>
                <w:rFonts w:ascii="Arial" w:hAnsi="Arial"/>
                <w:color w:val="212730"/>
                <w:sz w:val="16"/>
              </w:rPr>
              <w:t>собрать общую логику проверки прибыльности</w:t>
            </w:r>
          </w:p>
        </w:tc>
      </w:tr>
      <w:tr>
        <w:tc>
          <w:tcPr>
            <w:tcW w:type="dxa" w:w="2891"/>
            <w:vAlign w:val="top"/>
            <w:tcBorders>
              <w:top w:val="single" w:sz="4" w:space="0" w:color="D6DCE2"/>
              <w:left w:val="single" w:sz="4" w:space="0" w:color="D6DCE2"/>
              <w:bottom w:val="single" w:sz="4" w:space="0" w:color="D6DCE2"/>
              <w:right w:val="single" w:sz="4" w:space="0" w:color="D6DCE2"/>
              <w:insideH w:val="single" w:sz="4" w:space="0" w:color="D6DCE2"/>
              <w:insideV w:val="single" w:sz="4" w:space="0" w:color="D6DCE2"/>
            </w:tcBorders>
          </w:tcPr>
          <w:p>
            <w:pPr>
              <w:spacing w:after="0"/>
            </w:pPr>
            <w:r>
              <w:rPr>
                <w:rFonts w:ascii="Arial" w:hAnsi="Arial"/>
                <w:color w:val="212730"/>
                <w:sz w:val="16"/>
              </w:rPr>
              <w:t>карта потерь P0-P3</w:t>
            </w:r>
          </w:p>
        </w:tc>
        <w:tc>
          <w:tcPr>
            <w:tcW w:type="dxa" w:w="6350"/>
            <w:vAlign w:val="top"/>
            <w:tcBorders>
              <w:top w:val="single" w:sz="4" w:space="0" w:color="D6DCE2"/>
              <w:left w:val="single" w:sz="4" w:space="0" w:color="D6DCE2"/>
              <w:bottom w:val="single" w:sz="4" w:space="0" w:color="D6DCE2"/>
              <w:right w:val="single" w:sz="4" w:space="0" w:color="D6DCE2"/>
              <w:insideH w:val="single" w:sz="4" w:space="0" w:color="D6DCE2"/>
              <w:insideV w:val="single" w:sz="4" w:space="0" w:color="D6DCE2"/>
            </w:tcBorders>
          </w:tcPr>
          <w:p>
            <w:pPr>
              <w:spacing w:after="0"/>
            </w:pPr>
            <w:r>
              <w:rPr>
                <w:rFonts w:ascii="Arial" w:hAnsi="Arial"/>
                <w:color w:val="212730"/>
                <w:sz w:val="16"/>
              </w:rPr>
              <w:t>выделить красные зоны по цене ошибки</w:t>
            </w:r>
          </w:p>
        </w:tc>
      </w:tr>
      <w:tr>
        <w:tc>
          <w:tcPr>
            <w:tcW w:type="dxa" w:w="2891"/>
            <w:vAlign w:val="top"/>
            <w:tcBorders>
              <w:top w:val="single" w:sz="4" w:space="0" w:color="D6DCE2"/>
              <w:left w:val="single" w:sz="4" w:space="0" w:color="D6DCE2"/>
              <w:bottom w:val="single" w:sz="4" w:space="0" w:color="D6DCE2"/>
              <w:right w:val="single" w:sz="4" w:space="0" w:color="D6DCE2"/>
              <w:insideH w:val="single" w:sz="4" w:space="0" w:color="D6DCE2"/>
              <w:insideV w:val="single" w:sz="4" w:space="0" w:color="D6DCE2"/>
            </w:tcBorders>
          </w:tcPr>
          <w:p>
            <w:pPr>
              <w:spacing w:after="0"/>
            </w:pPr>
            <w:r>
              <w:rPr>
                <w:rFonts w:ascii="Arial" w:hAnsi="Arial"/>
                <w:color w:val="212730"/>
                <w:sz w:val="16"/>
              </w:rPr>
              <w:t>контрольный вердикт / gate-вердикт</w:t>
            </w:r>
          </w:p>
        </w:tc>
        <w:tc>
          <w:tcPr>
            <w:tcW w:type="dxa" w:w="6350"/>
            <w:vAlign w:val="top"/>
            <w:tcBorders>
              <w:top w:val="single" w:sz="4" w:space="0" w:color="D6DCE2"/>
              <w:left w:val="single" w:sz="4" w:space="0" w:color="D6DCE2"/>
              <w:bottom w:val="single" w:sz="4" w:space="0" w:color="D6DCE2"/>
              <w:right w:val="single" w:sz="4" w:space="0" w:color="D6DCE2"/>
              <w:insideH w:val="single" w:sz="4" w:space="0" w:color="D6DCE2"/>
              <w:insideV w:val="single" w:sz="4" w:space="0" w:color="D6DCE2"/>
            </w:tcBorders>
          </w:tcPr>
          <w:p>
            <w:pPr>
              <w:spacing w:after="0"/>
            </w:pPr>
            <w:r>
              <w:rPr>
                <w:rFonts w:ascii="Arial" w:hAnsi="Arial"/>
                <w:color w:val="212730"/>
                <w:sz w:val="16"/>
              </w:rPr>
              <w:t>решить: Сессия, пауза, стоп или сбор данных</w:t>
            </w:r>
          </w:p>
        </w:tc>
      </w:tr>
    </w:tbl>
    <w:p>
      <w:pPr>
        <w:pStyle w:val="Heading1"/>
      </w:pPr>
      <w:r>
        <w:t>3. Что нужно от клиента</w:t>
      </w:r>
    </w:p>
    <w:p>
      <w:pPr>
        <w:pStyle w:val="ListBullet"/>
        <w:ind w:left="255"/>
      </w:pPr>
      <w:r>
        <w:rPr>
          <w:rFonts w:ascii="Arial" w:hAnsi="Arial"/>
          <w:color w:val="212730"/>
          <w:sz w:val="18"/>
        </w:rPr>
        <w:t>выгрузки продаж, цен, себестоимости, комиссий, возвратов, запасов и промо за согласованный период;</w:t>
      </w:r>
    </w:p>
    <w:p>
      <w:pPr>
        <w:pStyle w:val="ListBullet"/>
        <w:ind w:left="255"/>
      </w:pPr>
      <w:r>
        <w:rPr>
          <w:rFonts w:ascii="Arial" w:hAnsi="Arial"/>
          <w:color w:val="212730"/>
          <w:sz w:val="18"/>
        </w:rPr>
        <w:t>ответственный владелец данных со стороны клиента;</w:t>
      </w:r>
    </w:p>
    <w:p>
      <w:pPr>
        <w:pStyle w:val="ListBullet"/>
        <w:ind w:left="255"/>
      </w:pPr>
      <w:r>
        <w:rPr>
          <w:rFonts w:ascii="Arial" w:hAnsi="Arial"/>
          <w:color w:val="212730"/>
          <w:sz w:val="18"/>
        </w:rPr>
        <w:t>доступ к людям, которые принимают решения по цене, промо, каналу, запасу и SKU;</w:t>
      </w:r>
    </w:p>
    <w:p>
      <w:pPr>
        <w:pStyle w:val="ListBullet"/>
        <w:ind w:left="255"/>
      </w:pPr>
      <w:r>
        <w:rPr>
          <w:rFonts w:ascii="Arial" w:hAnsi="Arial"/>
          <w:color w:val="212730"/>
          <w:sz w:val="18"/>
        </w:rPr>
        <w:t>готовность принять честный вердикт, включая паузу или стоп при несводимых данных.</w:t>
      </w:r>
    </w:p>
    <w:p>
      <w:pPr>
        <w:pStyle w:val="Heading1"/>
      </w:pPr>
      <w:r>
        <w:t>4. Что не обещается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5241"/>
        <w:gridCol w:w="5241"/>
      </w:tblGrid>
      <w:tr>
        <w:tc>
          <w:tcPr>
            <w:tcW w:type="dxa" w:w="3061"/>
            <w:shd w:fill="E8F0F7"/>
            <w:vAlign w:val="top"/>
            <w:tcBorders>
              <w:top w:val="single" w:sz="4" w:space="0" w:color="D6DCE2"/>
              <w:left w:val="single" w:sz="4" w:space="0" w:color="D6DCE2"/>
              <w:bottom w:val="single" w:sz="4" w:space="0" w:color="D6DCE2"/>
              <w:right w:val="single" w:sz="4" w:space="0" w:color="D6DCE2"/>
              <w:insideH w:val="single" w:sz="4" w:space="0" w:color="D6DCE2"/>
              <w:insideV w:val="single" w:sz="4" w:space="0" w:color="D6DCE2"/>
            </w:tcBorders>
          </w:tcPr>
          <w:p>
            <w:pPr>
              <w:spacing w:after="0"/>
            </w:pPr>
            <w:r>
              <w:rPr>
                <w:rFonts w:ascii="Arial" w:hAnsi="Arial"/>
                <w:b/>
                <w:color w:val="1F4E79"/>
                <w:sz w:val="16"/>
              </w:rPr>
              <w:t>Не обещаем</w:t>
            </w:r>
          </w:p>
        </w:tc>
        <w:tc>
          <w:tcPr>
            <w:tcW w:type="dxa" w:w="6180"/>
            <w:shd w:fill="E8F0F7"/>
            <w:vAlign w:val="top"/>
            <w:tcBorders>
              <w:top w:val="single" w:sz="4" w:space="0" w:color="D6DCE2"/>
              <w:left w:val="single" w:sz="4" w:space="0" w:color="D6DCE2"/>
              <w:bottom w:val="single" w:sz="4" w:space="0" w:color="D6DCE2"/>
              <w:right w:val="single" w:sz="4" w:space="0" w:color="D6DCE2"/>
              <w:insideH w:val="single" w:sz="4" w:space="0" w:color="D6DCE2"/>
              <w:insideV w:val="single" w:sz="4" w:space="0" w:color="D6DCE2"/>
            </w:tcBorders>
          </w:tcPr>
          <w:p>
            <w:pPr>
              <w:spacing w:after="0"/>
            </w:pPr>
            <w:r>
              <w:rPr>
                <w:rFonts w:ascii="Arial" w:hAnsi="Arial"/>
                <w:b/>
                <w:color w:val="1F4E79"/>
                <w:sz w:val="16"/>
              </w:rPr>
              <w:t>Почему</w:t>
            </w:r>
          </w:p>
        </w:tc>
      </w:tr>
      <w:tr>
        <w:tc>
          <w:tcPr>
            <w:tcW w:type="dxa" w:w="3061"/>
            <w:vAlign w:val="top"/>
            <w:tcBorders>
              <w:top w:val="single" w:sz="4" w:space="0" w:color="D6DCE2"/>
              <w:left w:val="single" w:sz="4" w:space="0" w:color="D6DCE2"/>
              <w:bottom w:val="single" w:sz="4" w:space="0" w:color="D6DCE2"/>
              <w:right w:val="single" w:sz="4" w:space="0" w:color="D6DCE2"/>
              <w:insideH w:val="single" w:sz="4" w:space="0" w:color="D6DCE2"/>
              <w:insideV w:val="single" w:sz="4" w:space="0" w:color="D6DCE2"/>
            </w:tcBorders>
          </w:tcPr>
          <w:p>
            <w:pPr>
              <w:spacing w:after="0"/>
            </w:pPr>
            <w:r>
              <w:rPr>
                <w:rFonts w:ascii="Arial" w:hAnsi="Arial"/>
                <w:color w:val="212730"/>
                <w:sz w:val="16"/>
              </w:rPr>
              <w:t>рост прибыли до данных</w:t>
            </w:r>
          </w:p>
        </w:tc>
        <w:tc>
          <w:tcPr>
            <w:tcW w:type="dxa" w:w="6180"/>
            <w:vAlign w:val="top"/>
            <w:tcBorders>
              <w:top w:val="single" w:sz="4" w:space="0" w:color="D6DCE2"/>
              <w:left w:val="single" w:sz="4" w:space="0" w:color="D6DCE2"/>
              <w:bottom w:val="single" w:sz="4" w:space="0" w:color="D6DCE2"/>
              <w:right w:val="single" w:sz="4" w:space="0" w:color="D6DCE2"/>
              <w:insideH w:val="single" w:sz="4" w:space="0" w:color="D6DCE2"/>
              <w:insideV w:val="single" w:sz="4" w:space="0" w:color="D6DCE2"/>
            </w:tcBorders>
          </w:tcPr>
          <w:p>
            <w:pPr>
              <w:spacing w:after="0"/>
            </w:pPr>
            <w:r>
              <w:rPr>
                <w:rFonts w:ascii="Arial" w:hAnsi="Arial"/>
                <w:color w:val="212730"/>
                <w:sz w:val="16"/>
              </w:rPr>
              <w:t>до Диагностики есть только гипотеза цены ошибки</w:t>
            </w:r>
          </w:p>
        </w:tc>
      </w:tr>
      <w:tr>
        <w:tc>
          <w:tcPr>
            <w:tcW w:type="dxa" w:w="3061"/>
            <w:vAlign w:val="top"/>
            <w:tcBorders>
              <w:top w:val="single" w:sz="4" w:space="0" w:color="D6DCE2"/>
              <w:left w:val="single" w:sz="4" w:space="0" w:color="D6DCE2"/>
              <w:bottom w:val="single" w:sz="4" w:space="0" w:color="D6DCE2"/>
              <w:right w:val="single" w:sz="4" w:space="0" w:color="D6DCE2"/>
              <w:insideH w:val="single" w:sz="4" w:space="0" w:color="D6DCE2"/>
              <w:insideV w:val="single" w:sz="4" w:space="0" w:color="D6DCE2"/>
            </w:tcBorders>
          </w:tcPr>
          <w:p>
            <w:pPr>
              <w:spacing w:after="0"/>
            </w:pPr>
            <w:r>
              <w:rPr>
                <w:rFonts w:ascii="Arial" w:hAnsi="Arial"/>
                <w:color w:val="212730"/>
                <w:sz w:val="16"/>
              </w:rPr>
              <w:t>Сессию автоматически</w:t>
            </w:r>
          </w:p>
        </w:tc>
        <w:tc>
          <w:tcPr>
            <w:tcW w:type="dxa" w:w="6180"/>
            <w:vAlign w:val="top"/>
            <w:tcBorders>
              <w:top w:val="single" w:sz="4" w:space="0" w:color="D6DCE2"/>
              <w:left w:val="single" w:sz="4" w:space="0" w:color="D6DCE2"/>
              <w:bottom w:val="single" w:sz="4" w:space="0" w:color="D6DCE2"/>
              <w:right w:val="single" w:sz="4" w:space="0" w:color="D6DCE2"/>
              <w:insideH w:val="single" w:sz="4" w:space="0" w:color="D6DCE2"/>
              <w:insideV w:val="single" w:sz="4" w:space="0" w:color="D6DCE2"/>
            </w:tcBorders>
          </w:tcPr>
          <w:p>
            <w:pPr>
              <w:spacing w:after="0"/>
            </w:pPr>
            <w:r>
              <w:rPr>
                <w:rFonts w:ascii="Arial" w:hAnsi="Arial"/>
                <w:color w:val="212730"/>
                <w:sz w:val="16"/>
              </w:rPr>
              <w:t>следующий этап возможен только при подтвержденной проблеме и владельцах решений</w:t>
            </w:r>
          </w:p>
        </w:tc>
      </w:tr>
      <w:tr>
        <w:tc>
          <w:tcPr>
            <w:tcW w:type="dxa" w:w="3061"/>
            <w:vAlign w:val="top"/>
            <w:tcBorders>
              <w:top w:val="single" w:sz="4" w:space="0" w:color="D6DCE2"/>
              <w:left w:val="single" w:sz="4" w:space="0" w:color="D6DCE2"/>
              <w:bottom w:val="single" w:sz="4" w:space="0" w:color="D6DCE2"/>
              <w:right w:val="single" w:sz="4" w:space="0" w:color="D6DCE2"/>
              <w:insideH w:val="single" w:sz="4" w:space="0" w:color="D6DCE2"/>
              <w:insideV w:val="single" w:sz="4" w:space="0" w:color="D6DCE2"/>
            </w:tcBorders>
          </w:tcPr>
          <w:p>
            <w:pPr>
              <w:spacing w:after="0"/>
            </w:pPr>
            <w:r>
              <w:rPr>
                <w:rFonts w:ascii="Arial" w:hAnsi="Arial"/>
                <w:color w:val="212730"/>
                <w:sz w:val="16"/>
              </w:rPr>
              <w:t>тяжелое IT / информационно-технологическое внедрение</w:t>
            </w:r>
          </w:p>
        </w:tc>
        <w:tc>
          <w:tcPr>
            <w:tcW w:type="dxa" w:w="6180"/>
            <w:vAlign w:val="top"/>
            <w:tcBorders>
              <w:top w:val="single" w:sz="4" w:space="0" w:color="D6DCE2"/>
              <w:left w:val="single" w:sz="4" w:space="0" w:color="D6DCE2"/>
              <w:bottom w:val="single" w:sz="4" w:space="0" w:color="D6DCE2"/>
              <w:right w:val="single" w:sz="4" w:space="0" w:color="D6DCE2"/>
              <w:insideH w:val="single" w:sz="4" w:space="0" w:color="D6DCE2"/>
              <w:insideV w:val="single" w:sz="4" w:space="0" w:color="D6DCE2"/>
            </w:tcBorders>
          </w:tcPr>
          <w:p>
            <w:pPr>
              <w:spacing w:after="0"/>
            </w:pPr>
            <w:r>
              <w:rPr>
                <w:rFonts w:ascii="Arial" w:hAnsi="Arial"/>
                <w:color w:val="212730"/>
                <w:sz w:val="16"/>
              </w:rPr>
              <w:t>Диагностика строит управленческий контур, а не заменяет систему учета</w:t>
            </w:r>
          </w:p>
        </w:tc>
      </w:tr>
      <w:tr>
        <w:tc>
          <w:tcPr>
            <w:tcW w:type="dxa" w:w="3061"/>
            <w:vAlign w:val="top"/>
            <w:tcBorders>
              <w:top w:val="single" w:sz="4" w:space="0" w:color="D6DCE2"/>
              <w:left w:val="single" w:sz="4" w:space="0" w:color="D6DCE2"/>
              <w:bottom w:val="single" w:sz="4" w:space="0" w:color="D6DCE2"/>
              <w:right w:val="single" w:sz="4" w:space="0" w:color="D6DCE2"/>
              <w:insideH w:val="single" w:sz="4" w:space="0" w:color="D6DCE2"/>
              <w:insideV w:val="single" w:sz="4" w:space="0" w:color="D6DCE2"/>
            </w:tcBorders>
          </w:tcPr>
          <w:p>
            <w:pPr>
              <w:spacing w:after="0"/>
            </w:pPr>
            <w:r>
              <w:rPr>
                <w:rFonts w:ascii="Arial" w:hAnsi="Arial"/>
                <w:color w:val="212730"/>
                <w:sz w:val="16"/>
              </w:rPr>
              <w:t>реальные кейсы вместо модельных</w:t>
            </w:r>
          </w:p>
        </w:tc>
        <w:tc>
          <w:tcPr>
            <w:tcW w:type="dxa" w:w="6180"/>
            <w:vAlign w:val="top"/>
            <w:tcBorders>
              <w:top w:val="single" w:sz="4" w:space="0" w:color="D6DCE2"/>
              <w:left w:val="single" w:sz="4" w:space="0" w:color="D6DCE2"/>
              <w:bottom w:val="single" w:sz="4" w:space="0" w:color="D6DCE2"/>
              <w:right w:val="single" w:sz="4" w:space="0" w:color="D6DCE2"/>
              <w:insideH w:val="single" w:sz="4" w:space="0" w:color="D6DCE2"/>
              <w:insideV w:val="single" w:sz="4" w:space="0" w:color="D6DCE2"/>
            </w:tcBorders>
          </w:tcPr>
          <w:p>
            <w:pPr>
              <w:spacing w:after="0"/>
            </w:pPr>
            <w:r>
              <w:rPr>
                <w:rFonts w:ascii="Arial" w:hAnsi="Arial"/>
                <w:color w:val="212730"/>
                <w:sz w:val="16"/>
              </w:rPr>
              <w:t>12 кейсов являются модельными сценариями, если не указано иное</w:t>
            </w:r>
          </w:p>
        </w:tc>
      </w:tr>
    </w:tbl>
    <w:p>
      <w:pPr>
        <w:pStyle w:val="Heading1"/>
      </w:pPr>
      <w:r>
        <w:t>5. Коммерческая рамка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5241"/>
        <w:gridCol w:w="5241"/>
      </w:tblGrid>
      <w:tr>
        <w:tc>
          <w:tcPr>
            <w:tcW w:type="dxa" w:w="2268"/>
            <w:shd w:fill="E8F0F7"/>
            <w:vAlign w:val="top"/>
            <w:tcBorders>
              <w:top w:val="single" w:sz="4" w:space="0" w:color="D6DCE2"/>
              <w:left w:val="single" w:sz="4" w:space="0" w:color="D6DCE2"/>
              <w:bottom w:val="single" w:sz="4" w:space="0" w:color="D6DCE2"/>
              <w:right w:val="single" w:sz="4" w:space="0" w:color="D6DCE2"/>
              <w:insideH w:val="single" w:sz="4" w:space="0" w:color="D6DCE2"/>
              <w:insideV w:val="single" w:sz="4" w:space="0" w:color="D6DCE2"/>
            </w:tcBorders>
          </w:tcPr>
          <w:p>
            <w:pPr>
              <w:spacing w:after="0"/>
            </w:pPr>
            <w:r>
              <w:rPr>
                <w:rFonts w:ascii="Arial" w:hAnsi="Arial"/>
                <w:b/>
                <w:color w:val="1F4E79"/>
                <w:sz w:val="16"/>
              </w:rPr>
              <w:t>Параметр</w:t>
            </w:r>
          </w:p>
        </w:tc>
        <w:tc>
          <w:tcPr>
            <w:tcW w:type="dxa" w:w="6973"/>
            <w:shd w:fill="E8F0F7"/>
            <w:vAlign w:val="top"/>
            <w:tcBorders>
              <w:top w:val="single" w:sz="4" w:space="0" w:color="D6DCE2"/>
              <w:left w:val="single" w:sz="4" w:space="0" w:color="D6DCE2"/>
              <w:bottom w:val="single" w:sz="4" w:space="0" w:color="D6DCE2"/>
              <w:right w:val="single" w:sz="4" w:space="0" w:color="D6DCE2"/>
              <w:insideH w:val="single" w:sz="4" w:space="0" w:color="D6DCE2"/>
              <w:insideV w:val="single" w:sz="4" w:space="0" w:color="D6DCE2"/>
            </w:tcBorders>
          </w:tcPr>
          <w:p>
            <w:pPr>
              <w:spacing w:after="0"/>
            </w:pPr>
            <w:r>
              <w:rPr>
                <w:rFonts w:ascii="Arial" w:hAnsi="Arial"/>
                <w:b/>
                <w:color w:val="1F4E79"/>
                <w:sz w:val="16"/>
              </w:rPr>
              <w:t>Рамка</w:t>
            </w:r>
          </w:p>
        </w:tc>
      </w:tr>
      <w:tr>
        <w:tc>
          <w:tcPr>
            <w:tcW w:type="dxa" w:w="2268"/>
            <w:vAlign w:val="top"/>
            <w:tcBorders>
              <w:top w:val="single" w:sz="4" w:space="0" w:color="D6DCE2"/>
              <w:left w:val="single" w:sz="4" w:space="0" w:color="D6DCE2"/>
              <w:bottom w:val="single" w:sz="4" w:space="0" w:color="D6DCE2"/>
              <w:right w:val="single" w:sz="4" w:space="0" w:color="D6DCE2"/>
              <w:insideH w:val="single" w:sz="4" w:space="0" w:color="D6DCE2"/>
              <w:insideV w:val="single" w:sz="4" w:space="0" w:color="D6DCE2"/>
            </w:tcBorders>
          </w:tcPr>
          <w:p>
            <w:pPr>
              <w:spacing w:after="0"/>
            </w:pPr>
            <w:r>
              <w:rPr>
                <w:rFonts w:ascii="Arial" w:hAnsi="Arial"/>
                <w:color w:val="212730"/>
                <w:sz w:val="16"/>
              </w:rPr>
              <w:t>Срок</w:t>
            </w:r>
          </w:p>
        </w:tc>
        <w:tc>
          <w:tcPr>
            <w:tcW w:type="dxa" w:w="6973"/>
            <w:vAlign w:val="top"/>
            <w:tcBorders>
              <w:top w:val="single" w:sz="4" w:space="0" w:color="D6DCE2"/>
              <w:left w:val="single" w:sz="4" w:space="0" w:color="D6DCE2"/>
              <w:bottom w:val="single" w:sz="4" w:space="0" w:color="D6DCE2"/>
              <w:right w:val="single" w:sz="4" w:space="0" w:color="D6DCE2"/>
              <w:insideH w:val="single" w:sz="4" w:space="0" w:color="D6DCE2"/>
              <w:insideV w:val="single" w:sz="4" w:space="0" w:color="D6DCE2"/>
            </w:tcBorders>
          </w:tcPr>
          <w:p>
            <w:pPr>
              <w:spacing w:after="0"/>
            </w:pPr>
            <w:r>
              <w:rPr>
                <w:rFonts w:ascii="Arial" w:hAnsi="Arial"/>
                <w:color w:val="212730"/>
                <w:sz w:val="16"/>
              </w:rPr>
              <w:t>7-12 рабочих дней</w:t>
            </w:r>
          </w:p>
        </w:tc>
      </w:tr>
      <w:tr>
        <w:tc>
          <w:tcPr>
            <w:tcW w:type="dxa" w:w="2268"/>
            <w:vAlign w:val="top"/>
            <w:tcBorders>
              <w:top w:val="single" w:sz="4" w:space="0" w:color="D6DCE2"/>
              <w:left w:val="single" w:sz="4" w:space="0" w:color="D6DCE2"/>
              <w:bottom w:val="single" w:sz="4" w:space="0" w:color="D6DCE2"/>
              <w:right w:val="single" w:sz="4" w:space="0" w:color="D6DCE2"/>
              <w:insideH w:val="single" w:sz="4" w:space="0" w:color="D6DCE2"/>
              <w:insideV w:val="single" w:sz="4" w:space="0" w:color="D6DCE2"/>
            </w:tcBorders>
          </w:tcPr>
          <w:p>
            <w:pPr>
              <w:spacing w:after="0"/>
            </w:pPr>
            <w:r>
              <w:rPr>
                <w:rFonts w:ascii="Arial" w:hAnsi="Arial"/>
                <w:color w:val="212730"/>
                <w:sz w:val="16"/>
              </w:rPr>
              <w:t>Цена</w:t>
            </w:r>
          </w:p>
        </w:tc>
        <w:tc>
          <w:tcPr>
            <w:tcW w:type="dxa" w:w="6973"/>
            <w:vAlign w:val="top"/>
            <w:tcBorders>
              <w:top w:val="single" w:sz="4" w:space="0" w:color="D6DCE2"/>
              <w:left w:val="single" w:sz="4" w:space="0" w:color="D6DCE2"/>
              <w:bottom w:val="single" w:sz="4" w:space="0" w:color="D6DCE2"/>
              <w:right w:val="single" w:sz="4" w:space="0" w:color="D6DCE2"/>
              <w:insideH w:val="single" w:sz="4" w:space="0" w:color="D6DCE2"/>
              <w:insideV w:val="single" w:sz="4" w:space="0" w:color="D6DCE2"/>
            </w:tcBorders>
          </w:tcPr>
          <w:p>
            <w:pPr>
              <w:spacing w:after="0"/>
            </w:pPr>
            <w:r>
              <w:rPr>
                <w:rFonts w:ascii="Arial" w:hAnsi="Arial"/>
                <w:color w:val="212730"/>
                <w:sz w:val="16"/>
              </w:rPr>
              <w:t>450 000 - 850 000 руб.</w:t>
            </w:r>
          </w:p>
        </w:tc>
      </w:tr>
      <w:tr>
        <w:tc>
          <w:tcPr>
            <w:tcW w:type="dxa" w:w="2268"/>
            <w:vAlign w:val="top"/>
            <w:tcBorders>
              <w:top w:val="single" w:sz="4" w:space="0" w:color="D6DCE2"/>
              <w:left w:val="single" w:sz="4" w:space="0" w:color="D6DCE2"/>
              <w:bottom w:val="single" w:sz="4" w:space="0" w:color="D6DCE2"/>
              <w:right w:val="single" w:sz="4" w:space="0" w:color="D6DCE2"/>
              <w:insideH w:val="single" w:sz="4" w:space="0" w:color="D6DCE2"/>
              <w:insideV w:val="single" w:sz="4" w:space="0" w:color="D6DCE2"/>
            </w:tcBorders>
          </w:tcPr>
          <w:p>
            <w:pPr>
              <w:spacing w:after="0"/>
            </w:pPr>
            <w:r>
              <w:rPr>
                <w:rFonts w:ascii="Arial" w:hAnsi="Arial"/>
                <w:color w:val="212730"/>
                <w:sz w:val="16"/>
              </w:rPr>
              <w:t>Следующий шаг</w:t>
            </w:r>
          </w:p>
        </w:tc>
        <w:tc>
          <w:tcPr>
            <w:tcW w:type="dxa" w:w="6973"/>
            <w:vAlign w:val="top"/>
            <w:tcBorders>
              <w:top w:val="single" w:sz="4" w:space="0" w:color="D6DCE2"/>
              <w:left w:val="single" w:sz="4" w:space="0" w:color="D6DCE2"/>
              <w:bottom w:val="single" w:sz="4" w:space="0" w:color="D6DCE2"/>
              <w:right w:val="single" w:sz="4" w:space="0" w:color="D6DCE2"/>
              <w:insideH w:val="single" w:sz="4" w:space="0" w:color="D6DCE2"/>
              <w:insideV w:val="single" w:sz="4" w:space="0" w:color="D6DCE2"/>
            </w:tcBorders>
          </w:tcPr>
          <w:p>
            <w:pPr>
              <w:spacing w:after="0"/>
            </w:pPr>
            <w:r>
              <w:rPr>
                <w:rFonts w:ascii="Arial" w:hAnsi="Arial"/>
                <w:color w:val="212730"/>
                <w:sz w:val="16"/>
              </w:rPr>
              <w:t>Сессия только при подтвержденной цене ошибки, владельцах решений и сводимых данных</w:t>
            </w:r>
          </w:p>
        </w:tc>
      </w:tr>
    </w:tbl>
    <w:sectPr w:rsidR="00FC693F" w:rsidRPr="0006063C" w:rsidSect="00034616">
      <w:pgSz w:w="12240" w:h="15840"/>
      <w:pgMar w:top="879" w:right="879" w:bottom="879" w:left="879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spacing w:after="60"/>
    </w:pPr>
    <w:rPr>
      <w:rFonts w:ascii="Arial" w:hAnsi="Arial"/>
      <w:color w:val="212730"/>
      <w:sz w:val="18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160" w:after="80"/>
      <w:outlineLvl w:val="0"/>
    </w:pPr>
    <w:rPr>
      <w:rFonts w:asciiTheme="majorHAnsi" w:eastAsiaTheme="majorEastAsia" w:hAnsiTheme="majorHAnsi" w:cstheme="majorBidi" w:ascii="Arial" w:hAnsi="Arial"/>
      <w:b/>
      <w:bCs/>
      <w:color w:val="1F4E79"/>
      <w:sz w:val="30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 w:ascii="Arial" w:hAnsi="Arial"/>
      <w:b/>
      <w:bCs/>
      <w:color w:val="1F4E79"/>
      <w:sz w:val="24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160" w:after="80"/>
      <w:outlineLvl w:val="2"/>
    </w:pPr>
    <w:rPr>
      <w:rFonts w:asciiTheme="majorHAnsi" w:eastAsiaTheme="majorEastAsia" w:hAnsiTheme="majorHAnsi" w:cstheme="majorBidi" w:ascii="Arial" w:hAnsi="Arial"/>
      <w:b/>
      <w:bCs/>
      <w:color w:val="1F4E79"/>
      <w:sz w:val="2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