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1F4E79"/>
          <w:sz w:val="40"/>
        </w:rPr>
        <w:t>Каталог папки — 20 Сессия</w:t>
      </w:r>
    </w:p>
    <w:p>
      <w:r>
        <w:rPr>
          <w:rFonts w:ascii="Arial" w:hAnsi="Arial"/>
          <w:color w:val="666666"/>
          <w:sz w:val="20"/>
        </w:rPr>
        <w:t>Каталог папки. Версия структуры: v2.0. Дата: 22 июля 2026.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0312"/>
      </w:tblGrid>
      <w:tr>
        <w:trPr>
          <w:tblHeader w:val="true"/>
        </w:trPr>
        <w:tc>
          <w:tcPr>
            <w:tcW w:type="dxa" w:w="10312"/>
            <w:vAlign w:val="center"/>
            <w:shd w:fill="F7F3EA"/>
          </w:tcPr>
          <w:p>
            <w:pPr>
              <w:spacing w:after="20"/>
            </w:pPr>
            <w:r>
              <w:rPr>
                <w:b/>
                <w:color w:val="1F4E79"/>
              </w:rPr>
              <w:t xml:space="preserve">Назначение папки. </w:t>
            </w:r>
            <w:r>
              <w:t>Документы и рабочие книги этапа сессии.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Разрешено хранить</w:t>
            </w:r>
          </w:p>
        </w:tc>
        <w:tc>
          <w:tcPr>
            <w:tcW w:type="dxa" w:w="5156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Не должно храниться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Описание продукта, шаблоны, рабочая книга, демо-книга.</w:t>
            </w:r>
          </w:p>
        </w:tc>
        <w:tc>
          <w:tcPr>
            <w:tcW w:type="dxa" w:w="5156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Файлы других этапов и общие коммерческие документы.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2578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Файл</w:t>
            </w:r>
          </w:p>
        </w:tc>
        <w:tc>
          <w:tcPr>
            <w:tcW w:type="dxa" w:w="2578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Тип</w:t>
            </w:r>
          </w:p>
        </w:tc>
        <w:tc>
          <w:tcPr>
            <w:tcW w:type="dxa" w:w="2578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Назначение</w:t>
            </w:r>
          </w:p>
        </w:tc>
        <w:tc>
          <w:tcPr>
            <w:tcW w:type="dxa" w:w="2578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Версия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Контур_Маржи_Сессия_Демо_книга_Модельные_данные_v2.0.xlsx</w:t>
            </w:r>
          </w:p>
        </w:tc>
        <w:tc>
          <w:tcPr>
            <w:tcW w:type="dxa" w:w="257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XLSX / электронная таблица</w:t>
            </w:r>
          </w:p>
        </w:tc>
        <w:tc>
          <w:tcPr>
            <w:tcW w:type="dxa" w:w="257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Модельный заполненный пример.</w:t>
            </w:r>
          </w:p>
        </w:tc>
        <w:tc>
          <w:tcPr>
            <w:tcW w:type="dxa" w:w="257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v2.0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Контур_Маржи_Сессия_Продукт_Описание_v2.0.docx</w:t>
            </w:r>
          </w:p>
        </w:tc>
        <w:tc>
          <w:tcPr>
            <w:tcW w:type="dxa" w:w="257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DOCX / документ Word</w:t>
            </w:r>
          </w:p>
        </w:tc>
        <w:tc>
          <w:tcPr>
            <w:tcW w:type="dxa" w:w="257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Описание этапа технологии.</w:t>
            </w:r>
          </w:p>
        </w:tc>
        <w:tc>
          <w:tcPr>
            <w:tcW w:type="dxa" w:w="257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v2.0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Контур_Маржи_Сессия_Рабочая_книга_Расчет_v2.0.xlsx</w:t>
            </w:r>
          </w:p>
        </w:tc>
        <w:tc>
          <w:tcPr>
            <w:tcW w:type="dxa" w:w="257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XLSX / электронная таблица</w:t>
            </w:r>
          </w:p>
        </w:tc>
        <w:tc>
          <w:tcPr>
            <w:tcW w:type="dxa" w:w="257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Расчётная рабочая книга.</w:t>
            </w:r>
          </w:p>
        </w:tc>
        <w:tc>
          <w:tcPr>
            <w:tcW w:type="dxa" w:w="257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v2.0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Контур_Маржи_Сессия_Шаблон_Рабочие_формы_v2.0.docx</w:t>
            </w:r>
          </w:p>
        </w:tc>
        <w:tc>
          <w:tcPr>
            <w:tcW w:type="dxa" w:w="257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DOCX / документ Word</w:t>
            </w:r>
          </w:p>
        </w:tc>
        <w:tc>
          <w:tcPr>
            <w:tcW w:type="dxa" w:w="257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Рабочие формы этапа.</w:t>
            </w:r>
          </w:p>
        </w:tc>
        <w:tc>
          <w:tcPr>
            <w:tcW w:type="dxa" w:w="257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v2.0</w:t>
            </w:r>
          </w:p>
        </w:tc>
      </w:tr>
    </w:tbl>
    <w:p/>
    <w:p>
      <w:r>
        <w:t>Системные файлы macOS, включая .DS_Store, не учитываются как рабочие документы проекта.</w:t>
      </w:r>
    </w:p>
    <w:sectPr w:rsidR="00FC693F" w:rsidRPr="0006063C" w:rsidSect="00034616"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