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17 | Рабочие формы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Шаблоны — Сопровождение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формы сопровождения. Авторский термин: OmniMargin Management / управление омниканальной маржой.</w:t>
            </w:r>
          </w:p>
        </w:tc>
      </w:tr>
    </w:tbl>
    <w:p>
      <w:r>
        <w:t>Статус версии: v2.0. Рабочие шаблоны применяются только внутри этапа «Сопровождение» технологии «Контур Маржи».</w:t>
      </w:r>
    </w:p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Связь с XLSX: </w:t>
            </w:r>
            <w:r>
              <w:rPr>
                <w:rFonts w:ascii="Arial" w:hAnsi="Arial" w:eastAsia="Arial"/>
                <w:color w:val="111827"/>
                <w:sz w:val="19"/>
              </w:rPr>
              <w:t>Расчётная и регулярно заполняемая часть этого документа живёт в рабочей книге .xlsx. Ниже показан фрагмент интерфейса.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69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Пуль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6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59" w:lineRule="auto"/>
        <w:jc w:val="center"/>
      </w:pPr>
      <w:r>
        <w:rPr>
          <w:rFonts w:ascii="Arial" w:hAnsi="Arial" w:eastAsia="Arial"/>
          <w:i/>
          <w:color w:val="475569"/>
          <w:sz w:val="16"/>
        </w:rPr>
        <w:t>Фрагмент рабочей книги .xlsx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рабочие формы четвёртого платного продукта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реализация: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все формы, где ведутся 12-недельный ритм, месячные метрики, решения, сценарии, квартальная ревизия и доказательная таблица кейса, реализуются в книге Контур_Маржи_Сопровождение_Рабочая_книга_Расчет_v2.0.xlsx.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1. 12-недельный ритм-план сопровождения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844"/>
        <w:gridCol w:w="2957"/>
        <w:gridCol w:w="2839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Неделя</w:t>
            </w:r>
          </w:p>
        </w:tc>
        <w:tc>
          <w:tcPr>
            <w:tcW w:type="dxa" w:w="284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Тип встречи</w:t>
            </w:r>
          </w:p>
        </w:tc>
        <w:tc>
          <w:tcPr>
            <w:tcW w:type="dxa" w:w="29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Фокус</w:t>
            </w:r>
          </w:p>
        </w:tc>
        <w:tc>
          <w:tcPr>
            <w:tcW w:type="dxa" w:w="283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Артефакт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Кикофф сопровождения</w:t>
            </w:r>
          </w:p>
        </w:tc>
        <w:tc>
          <w:tcPr>
            <w:tcW w:type="dxa" w:w="29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принять итоги спринта, обновить цели</w:t>
            </w:r>
          </w:p>
        </w:tc>
        <w:tc>
          <w:tcPr>
            <w:tcW w:type="dxa" w:w="28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сопровождения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</w:t>
            </w:r>
          </w:p>
        </w:tc>
        <w:tc>
          <w:tcPr>
            <w:tcW w:type="dxa" w:w="29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SKU x канал, владельцы</w:t>
            </w:r>
          </w:p>
        </w:tc>
        <w:tc>
          <w:tcPr>
            <w:tcW w:type="dxa" w:w="28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недельный отчёт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Обзор решений</w:t>
            </w:r>
          </w:p>
        </w:tc>
        <w:tc>
          <w:tcPr>
            <w:tcW w:type="dxa" w:w="29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промо, цена, комиссии</w:t>
            </w:r>
          </w:p>
        </w:tc>
        <w:tc>
          <w:tcPr>
            <w:tcW w:type="dxa" w:w="28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протокол решений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обзор генерального директора / CEO</w:t>
            </w:r>
          </w:p>
        </w:tc>
        <w:tc>
          <w:tcPr>
            <w:tcW w:type="dxa" w:w="29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итоги месяца, P0/P1</w:t>
            </w:r>
          </w:p>
        </w:tc>
        <w:tc>
          <w:tcPr>
            <w:tcW w:type="dxa" w:w="28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ежемесячный отчёт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2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</w:t>
            </w:r>
          </w:p>
        </w:tc>
        <w:tc>
          <w:tcPr>
            <w:tcW w:type="dxa" w:w="29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запас, OSA / наличие, DSI / дни запасов</w:t>
            </w:r>
          </w:p>
        </w:tc>
        <w:tc>
          <w:tcPr>
            <w:tcW w:type="dxa" w:w="28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недельный отчёт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2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</w:t>
            </w:r>
          </w:p>
        </w:tc>
        <w:tc>
          <w:tcPr>
            <w:tcW w:type="dxa" w:w="29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возврата, NRL / чистые потери возвратов, причины</w:t>
            </w:r>
          </w:p>
        </w:tc>
        <w:tc>
          <w:tcPr>
            <w:tcW w:type="dxa" w:w="28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возвратов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2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Каналы</w:t>
            </w:r>
          </w:p>
        </w:tc>
        <w:tc>
          <w:tcPr>
            <w:tcW w:type="dxa" w:w="29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каннибализации, Price Gap / ценовой разрыв, маржа</w:t>
            </w:r>
          </w:p>
        </w:tc>
        <w:tc>
          <w:tcPr>
            <w:tcW w:type="dxa" w:w="28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каналов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2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обзор генерального директора / CEO</w:t>
            </w:r>
          </w:p>
        </w:tc>
        <w:tc>
          <w:tcPr>
            <w:tcW w:type="dxa" w:w="29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итоги месяца, блокеры</w:t>
            </w:r>
          </w:p>
        </w:tc>
        <w:tc>
          <w:tcPr>
            <w:tcW w:type="dxa" w:w="28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ежемесячный отчёт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</w:t>
            </w:r>
          </w:p>
        </w:tc>
        <w:tc>
          <w:tcPr>
            <w:tcW w:type="dxa" w:w="2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Сценарии</w:t>
            </w:r>
          </w:p>
        </w:tc>
        <w:tc>
          <w:tcPr>
            <w:tcW w:type="dxa" w:w="29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комиссия, LT, ставка, возвраты</w:t>
            </w:r>
          </w:p>
        </w:tc>
        <w:tc>
          <w:tcPr>
            <w:tcW w:type="dxa" w:w="28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сценарный лист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</w:t>
            </w:r>
          </w:p>
        </w:tc>
        <w:tc>
          <w:tcPr>
            <w:tcW w:type="dxa" w:w="2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</w:t>
            </w:r>
          </w:p>
        </w:tc>
        <w:tc>
          <w:tcPr>
            <w:tcW w:type="dxa" w:w="29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владельцы, просрочки</w:t>
            </w:r>
          </w:p>
        </w:tc>
        <w:tc>
          <w:tcPr>
            <w:tcW w:type="dxa" w:w="28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обновлённый RACI / матрица ответственности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11</w:t>
            </w:r>
          </w:p>
        </w:tc>
        <w:tc>
          <w:tcPr>
            <w:tcW w:type="dxa" w:w="28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Квартальная ревизия</w:t>
            </w:r>
          </w:p>
        </w:tc>
        <w:tc>
          <w:tcPr>
            <w:tcW w:type="dxa" w:w="29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ассортимент, каналы, запасы</w:t>
            </w:r>
          </w:p>
        </w:tc>
        <w:tc>
          <w:tcPr>
            <w:tcW w:type="dxa" w:w="28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квартальный обзор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</w:t>
            </w:r>
          </w:p>
        </w:tc>
        <w:tc>
          <w:tcPr>
            <w:tcW w:type="dxa" w:w="28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следующего квартала / Q+1</w:t>
            </w:r>
          </w:p>
        </w:tc>
        <w:tc>
          <w:tcPr>
            <w:tcW w:type="dxa" w:w="29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следующего периода</w:t>
            </w:r>
          </w:p>
        </w:tc>
        <w:tc>
          <w:tcPr>
            <w:tcW w:type="dxa" w:w="28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дорожная карта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2. Ежемесячный обзор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132"/>
        <w:gridCol w:w="2228"/>
      </w:tblGrid>
      <w:tr>
        <w:trPr>
          <w:tblHeader w:val="true"/>
        </w:trPr>
        <w:tc>
          <w:tcPr>
            <w:tcW w:type="dxa" w:w="713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222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Значение</w:t>
            </w:r>
          </w:p>
        </w:tc>
      </w:tr>
      <w:tr>
        <w:tc>
          <w:tcPr>
            <w:tcW w:type="dxa" w:w="71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Месяц</w:t>
            </w:r>
          </w:p>
        </w:tc>
        <w:tc>
          <w:tcPr>
            <w:tcW w:type="dxa" w:w="22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Период</w:t>
            </w:r>
          </w:p>
        </w:tc>
        <w:tc>
          <w:tcPr>
            <w:tcW w:type="dxa" w:w="22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22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Главный вывод месяца</w:t>
            </w:r>
          </w:p>
        </w:tc>
        <w:tc>
          <w:tcPr>
            <w:tcW w:type="dxa" w:w="22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Главные красные зоны</w:t>
            </w:r>
          </w:p>
        </w:tc>
        <w:tc>
          <w:tcPr>
            <w:tcW w:type="dxa" w:w="22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месяца</w:t>
            </w:r>
          </w:p>
        </w:tc>
        <w:tc>
          <w:tcPr>
            <w:tcW w:type="dxa" w:w="22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Блокеры</w:t>
            </w:r>
          </w:p>
        </w:tc>
        <w:tc>
          <w:tcPr>
            <w:tcW w:type="dxa" w:w="222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1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Фокус следующего месяца</w:t>
            </w:r>
          </w:p>
        </w:tc>
        <w:tc>
          <w:tcPr>
            <w:tcW w:type="dxa" w:w="222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3. Протокол решений месяца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204"/>
        <w:gridCol w:w="725"/>
        <w:gridCol w:w="725"/>
        <w:gridCol w:w="803"/>
        <w:gridCol w:w="725"/>
        <w:gridCol w:w="1606"/>
        <w:gridCol w:w="3572"/>
      </w:tblGrid>
      <w:tr>
        <w:trPr>
          <w:tblHeader w:val="true"/>
        </w:trPr>
        <w:tc>
          <w:tcPr>
            <w:tcW w:type="dxa" w:w="12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зона</w:t>
            </w:r>
          </w:p>
        </w:tc>
        <w:tc>
          <w:tcPr>
            <w:tcW w:type="dxa" w:w="7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Причина</w:t>
            </w:r>
          </w:p>
        </w:tc>
        <w:tc>
          <w:tcPr>
            <w:tcW w:type="dxa" w:w="7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  <w:tc>
          <w:tcPr>
            <w:tcW w:type="dxa" w:w="80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7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Срок</w:t>
            </w:r>
          </w:p>
        </w:tc>
        <w:tc>
          <w:tcPr>
            <w:tcW w:type="dxa" w:w="16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 проверки</w:t>
            </w:r>
          </w:p>
        </w:tc>
        <w:tc>
          <w:tcPr>
            <w:tcW w:type="dxa" w:w="357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</w:tr>
      <w:tr>
        <w:tc>
          <w:tcPr>
            <w:tcW w:type="dxa" w:w="12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0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7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6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35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новое / в работе / закрыто / заблокировано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4. Метрики месяца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232"/>
        <w:gridCol w:w="1266"/>
        <w:gridCol w:w="1266"/>
        <w:gridCol w:w="876"/>
        <w:gridCol w:w="859"/>
        <w:gridCol w:w="861"/>
      </w:tblGrid>
      <w:tr>
        <w:trPr>
          <w:tblHeader w:val="true"/>
        </w:trPr>
        <w:tc>
          <w:tcPr>
            <w:tcW w:type="dxa" w:w="423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12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Прошлый месяц</w:t>
            </w:r>
          </w:p>
        </w:tc>
        <w:tc>
          <w:tcPr>
            <w:tcW w:type="dxa" w:w="12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Текущий месяц</w:t>
            </w:r>
          </w:p>
        </w:tc>
        <w:tc>
          <w:tcPr>
            <w:tcW w:type="dxa" w:w="87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Изменение</w:t>
            </w:r>
          </w:p>
        </w:tc>
        <w:tc>
          <w:tcPr>
            <w:tcW w:type="dxa" w:w="8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</w:t>
            </w:r>
          </w:p>
        </w:tc>
        <w:tc>
          <w:tcPr>
            <w:tcW w:type="dxa" w:w="86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42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Net Margin / чистая маржа</w:t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Доля красных SKU x канал</w:t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Price Gap / ценовой разрыв</w:t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CI / индекс каннибализации</w:t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CTR / стоимость доставки и возврата</w:t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DSI / дни запасов</w:t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OSA / наличие</w:t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NRL / чистые потери возвратов</w:t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Penalty Rate / доля штрафов</w:t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  <w:tr>
        <w:tc>
          <w:tcPr>
            <w:tcW w:type="dxa" w:w="423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Строк без владельца</w:t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12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7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5. Квартальная ревизия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67"/>
        <w:gridCol w:w="3801"/>
        <w:gridCol w:w="772"/>
        <w:gridCol w:w="2920"/>
      </w:tblGrid>
      <w:tr>
        <w:trPr>
          <w:tblHeader w:val="true"/>
        </w:trPr>
        <w:tc>
          <w:tcPr>
            <w:tcW w:type="dxa" w:w="186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38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проверяем</w:t>
            </w:r>
          </w:p>
        </w:tc>
        <w:tc>
          <w:tcPr>
            <w:tcW w:type="dxa" w:w="77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Вывод</w:t>
            </w:r>
          </w:p>
        </w:tc>
        <w:tc>
          <w:tcPr>
            <w:tcW w:type="dxa" w:w="29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 следующего квартала / Q+1</w:t>
            </w:r>
          </w:p>
        </w:tc>
      </w:tr>
      <w:tr>
        <w:tc>
          <w:tcPr>
            <w:tcW w:type="dxa" w:w="18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Ассортимент</w:t>
            </w:r>
          </w:p>
        </w:tc>
        <w:tc>
          <w:tcPr>
            <w:tcW w:type="dxa" w:w="3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HERO-TAIL / разделение ядра и хвоста ассортимента, красные SKU</w:t>
            </w:r>
          </w:p>
        </w:tc>
        <w:tc>
          <w:tcPr>
            <w:tcW w:type="dxa" w:w="7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Каналы</w:t>
            </w:r>
          </w:p>
        </w:tc>
        <w:tc>
          <w:tcPr>
            <w:tcW w:type="dxa" w:w="3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маржа, CI / индекс каннибализации, Price Gap / ценовой разрыв</w:t>
            </w:r>
          </w:p>
        </w:tc>
        <w:tc>
          <w:tcPr>
            <w:tcW w:type="dxa" w:w="77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</w:t>
            </w:r>
          </w:p>
        </w:tc>
        <w:tc>
          <w:tcPr>
            <w:tcW w:type="dxa" w:w="3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ROMI / возврат маркетинговых инвестиций, Fee Stack / слои комиссий, Net Margin / чистая маржа</w:t>
            </w:r>
          </w:p>
        </w:tc>
        <w:tc>
          <w:tcPr>
            <w:tcW w:type="dxa" w:w="7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Запасы</w:t>
            </w:r>
          </w:p>
        </w:tc>
        <w:tc>
          <w:tcPr>
            <w:tcW w:type="dxa" w:w="3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запасов, OSA / наличие, TDB / буфер по времени</w:t>
            </w:r>
          </w:p>
        </w:tc>
        <w:tc>
          <w:tcPr>
            <w:tcW w:type="dxa" w:w="77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</w:t>
            </w:r>
          </w:p>
        </w:tc>
        <w:tc>
          <w:tcPr>
            <w:tcW w:type="dxa" w:w="3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возврата, NRL / чистые потери возвратов, причины</w:t>
            </w:r>
          </w:p>
        </w:tc>
        <w:tc>
          <w:tcPr>
            <w:tcW w:type="dxa" w:w="7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Упаковка / штрафы</w:t>
            </w:r>
          </w:p>
        </w:tc>
        <w:tc>
          <w:tcPr>
            <w:tcW w:type="dxa" w:w="3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штрафов, Damage / повреждения</w:t>
            </w:r>
          </w:p>
        </w:tc>
        <w:tc>
          <w:tcPr>
            <w:tcW w:type="dxa" w:w="77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Ответственность</w:t>
            </w:r>
          </w:p>
        </w:tc>
        <w:tc>
          <w:tcPr>
            <w:tcW w:type="dxa" w:w="38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ответственности, просрочки</w:t>
            </w:r>
          </w:p>
        </w:tc>
        <w:tc>
          <w:tcPr>
            <w:tcW w:type="dxa" w:w="77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18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Денежный поток</w:t>
            </w:r>
          </w:p>
        </w:tc>
        <w:tc>
          <w:tcPr>
            <w:tcW w:type="dxa" w:w="38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Cash Need / потребность в деньгах, сценарии</w:t>
            </w:r>
          </w:p>
        </w:tc>
        <w:tc>
          <w:tcPr>
            <w:tcW w:type="dxa" w:w="77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29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6. Карта открытых рисков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886"/>
        <w:gridCol w:w="4366"/>
        <w:gridCol w:w="1350"/>
        <w:gridCol w:w="886"/>
        <w:gridCol w:w="982"/>
        <w:gridCol w:w="890"/>
      </w:tblGrid>
      <w:tr>
        <w:trPr>
          <w:tblHeader w:val="true"/>
        </w:trPr>
        <w:tc>
          <w:tcPr>
            <w:tcW w:type="dxa" w:w="88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Риск</w:t>
            </w:r>
          </w:p>
        </w:tc>
        <w:tc>
          <w:tcPr>
            <w:tcW w:type="dxa" w:w="43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</w:t>
            </w:r>
          </w:p>
        </w:tc>
        <w:tc>
          <w:tcPr>
            <w:tcW w:type="dxa" w:w="135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Вероятность</w:t>
            </w:r>
          </w:p>
        </w:tc>
        <w:tc>
          <w:tcPr>
            <w:tcW w:type="dxa" w:w="88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Влияние</w:t>
            </w:r>
          </w:p>
        </w:tc>
        <w:tc>
          <w:tcPr>
            <w:tcW w:type="dxa" w:w="98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89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8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43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  <w:t>ассортимент / канал / цена / запас / возврат / RACI / матрица ответственности</w:t>
            </w:r>
          </w:p>
        </w:tc>
        <w:tc>
          <w:tcPr>
            <w:tcW w:type="dxa" w:w="135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98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  <w:tc>
          <w:tcPr>
            <w:tcW w:type="dxa" w:w="89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5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7. Сценарный лист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797"/>
        <w:gridCol w:w="892"/>
        <w:gridCol w:w="1934"/>
        <w:gridCol w:w="3104"/>
        <w:gridCol w:w="633"/>
      </w:tblGrid>
      <w:tr>
        <w:trPr>
          <w:tblHeader w:val="true"/>
        </w:trPr>
        <w:tc>
          <w:tcPr>
            <w:tcW w:type="dxa" w:w="279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Сценарий</w:t>
            </w:r>
          </w:p>
        </w:tc>
        <w:tc>
          <w:tcPr>
            <w:tcW w:type="dxa" w:w="89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меняется</w:t>
            </w:r>
          </w:p>
        </w:tc>
        <w:tc>
          <w:tcPr>
            <w:tcW w:type="dxa" w:w="193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Какие SKU x канал краснеют</w:t>
            </w:r>
          </w:p>
        </w:tc>
        <w:tc>
          <w:tcPr>
            <w:tcW w:type="dxa" w:w="310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Влияние на Cash Need / потребность в деньгах</w:t>
            </w:r>
          </w:p>
        </w:tc>
        <w:tc>
          <w:tcPr>
            <w:tcW w:type="dxa" w:w="63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27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 маркетплейса 35 %</w:t>
            </w:r>
          </w:p>
        </w:tc>
        <w:tc>
          <w:tcPr>
            <w:tcW w:type="dxa" w:w="8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9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1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6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7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LT / срок поставки +5 дней</w:t>
            </w:r>
          </w:p>
        </w:tc>
        <w:tc>
          <w:tcPr>
            <w:tcW w:type="dxa" w:w="8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9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1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6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7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 +10 п.п.</w:t>
            </w:r>
          </w:p>
        </w:tc>
        <w:tc>
          <w:tcPr>
            <w:tcW w:type="dxa" w:w="8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9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1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6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79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Ставка финансирования +2 п.п.</w:t>
            </w:r>
          </w:p>
        </w:tc>
        <w:tc>
          <w:tcPr>
            <w:tcW w:type="dxa" w:w="89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9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10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6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279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Курс закупки ухудшился</w:t>
            </w:r>
          </w:p>
        </w:tc>
        <w:tc>
          <w:tcPr>
            <w:tcW w:type="dxa" w:w="89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9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10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6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8. Итоговый кейс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26"/>
        <w:gridCol w:w="2134"/>
      </w:tblGrid>
      <w:tr>
        <w:trPr>
          <w:tblHeader w:val="true"/>
        </w:trPr>
        <w:tc>
          <w:tcPr>
            <w:tcW w:type="dxa" w:w="722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213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Содержание</w:t>
            </w:r>
          </w:p>
        </w:tc>
      </w:tr>
      <w:tr>
        <w:tc>
          <w:tcPr>
            <w:tcW w:type="dxa" w:w="72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Компания / модельный пример</w:t>
            </w:r>
          </w:p>
        </w:tc>
        <w:tc>
          <w:tcPr>
            <w:tcW w:type="dxa" w:w="2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Исходная ситуация</w:t>
            </w:r>
          </w:p>
        </w:tc>
        <w:tc>
          <w:tcPr>
            <w:tcW w:type="dxa" w:w="2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</w:t>
            </w:r>
          </w:p>
        </w:tc>
        <w:tc>
          <w:tcPr>
            <w:tcW w:type="dxa" w:w="2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2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до</w:t>
            </w:r>
          </w:p>
        </w:tc>
        <w:tc>
          <w:tcPr>
            <w:tcW w:type="dxa" w:w="2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после</w:t>
            </w:r>
          </w:p>
        </w:tc>
        <w:tc>
          <w:tcPr>
            <w:tcW w:type="dxa" w:w="2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подтверждено данными</w:t>
            </w:r>
          </w:p>
        </w:tc>
        <w:tc>
          <w:tcPr>
            <w:tcW w:type="dxa" w:w="2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осталось гипотезой</w:t>
            </w:r>
          </w:p>
        </w:tc>
        <w:tc>
          <w:tcPr>
            <w:tcW w:type="dxa" w:w="213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72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Следующий горизонт</w:t>
            </w:r>
          </w:p>
        </w:tc>
        <w:tc>
          <w:tcPr>
            <w:tcW w:type="dxa" w:w="213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Обязательная пометка, если кейс не реальный: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модельный кейс-пример применения технологии.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9. Доказательная таблица кейса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220"/>
        <w:gridCol w:w="3946"/>
        <w:gridCol w:w="998"/>
        <w:gridCol w:w="3196"/>
      </w:tblGrid>
      <w:tr>
        <w:trPr>
          <w:tblHeader w:val="true"/>
        </w:trPr>
        <w:tc>
          <w:tcPr>
            <w:tcW w:type="dxa" w:w="12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Утверждение</w:t>
            </w:r>
          </w:p>
        </w:tc>
        <w:tc>
          <w:tcPr>
            <w:tcW w:type="dxa" w:w="394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99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Основание</w:t>
            </w:r>
          </w:p>
        </w:tc>
        <w:tc>
          <w:tcPr>
            <w:tcW w:type="dxa" w:w="31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Можно использовать в кейсе?</w:t>
            </w:r>
          </w:p>
        </w:tc>
      </w:tr>
      <w:tr>
        <w:tc>
          <w:tcPr>
            <w:tcW w:type="dxa" w:w="12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94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 / гипотеза / модельный расчёт / не подтверждено</w:t>
            </w:r>
          </w:p>
        </w:tc>
        <w:tc>
          <w:tcPr>
            <w:tcW w:type="dxa" w:w="9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31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 / нет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результат нельзя включать в кейс как факт, если нет данных до / после.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Шаблон 10. Проверка качества сопровождения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6406"/>
        <w:gridCol w:w="1301"/>
        <w:gridCol w:w="1653"/>
      </w:tblGrid>
      <w:tr>
        <w:trPr>
          <w:tblHeader w:val="true"/>
        </w:trPr>
        <w:tc>
          <w:tcPr>
            <w:tcW w:type="dxa" w:w="64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Критерий</w:t>
            </w:r>
          </w:p>
        </w:tc>
        <w:tc>
          <w:tcPr>
            <w:tcW w:type="dxa" w:w="13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Да / нет</w:t>
            </w:r>
          </w:p>
        </w:tc>
        <w:tc>
          <w:tcPr>
            <w:tcW w:type="dxa" w:w="16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обновляются регулярно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имеют владельцев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фиксируются письменно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Квартальная ревизия проведена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Сценарии обновлены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Дорожная карта обновлена</w:t>
            </w:r>
          </w:p>
        </w:tc>
        <w:tc>
          <w:tcPr>
            <w:tcW w:type="dxa" w:w="13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  <w:tr>
        <w:tc>
          <w:tcPr>
            <w:tcW w:type="dxa" w:w="64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Кейс можно собрать без выдумывания результата</w:t>
            </w:r>
          </w:p>
        </w:tc>
        <w:tc>
          <w:tcPr>
            <w:tcW w:type="dxa" w:w="13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  <w:tc>
          <w:tcPr>
            <w:tcW w:type="dxa" w:w="16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Проводник по шаблонам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Вопрос</w:t>
            </w:r>
          </w:p>
        </w:tc>
        <w:tc>
          <w:tcPr>
            <w:tcW w:type="dxa" w:w="6803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Ответ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Когда использовать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 этапе «Сопровождение» после подтверждения входных условий.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Кто заполняет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Консультант вместе с владельцем коммерческого решения и ответственными за данные.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Товарная матрица, каналы, цены, запасы, комиссии, маржа / прибыль и качество данных.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Что на выходе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Заполненные формы, управленческий вывод, ответственный, срок и следующая точка контроля.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Типовая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Заполнить форму как отчёт, но не связать её с решением и рабочей книгой.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