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4"/>
        </w:rPr>
        <w:t>Каталог 12 модельных кейсов — Контур Маржи v2.0</w:t>
      </w:r>
    </w:p>
    <w:p>
      <w:r>
        <w:rPr>
          <w:rFonts w:ascii="Arial" w:hAnsi="Arial"/>
          <w:color w:val="666666"/>
          <w:sz w:val="22"/>
        </w:rPr>
        <w:t>Навигация по ситуациям, сегментам, рискам и этапам технологии</w:t>
      </w:r>
    </w:p>
    <w:p>
      <w:r>
        <w:rPr>
          <w:rFonts w:ascii="Arial" w:hAnsi="Arial"/>
          <w:color w:val="666666"/>
          <w:sz w:val="18"/>
        </w:rPr>
        <w:t>Версия: v2.0. Дата выпуска: 20 июля 2026.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8640"/>
      </w:tblGrid>
      <w:tr>
        <w:trPr>
          <w:tblHeader w:val="true"/>
        </w:trPr>
        <w:tc>
          <w:tcPr>
            <w:tcW w:type="dxa" w:w="8640"/>
            <w:vAlign w:val="center"/>
            <w:shd w:fill="F7F3EA"/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Статус. </w:t>
            </w:r>
            <w:r>
              <w:t>Все кейсы в каталоге являются модельными сценариями. Они показывают применение технологии, но не являются утверждением о реальных клиентских внедрениях.</w:t>
            </w:r>
          </w:p>
        </w:tc>
      </w:tr>
    </w:tbl>
    <w:p/>
    <w:p>
      <w:pPr>
        <w:pStyle w:val="Heading1"/>
      </w:pPr>
      <w:r>
        <w:t>1. Карта кейсов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567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№</w:t>
            </w:r>
          </w:p>
        </w:tc>
        <w:tc>
          <w:tcPr>
            <w:tcW w:type="dxa" w:w="2268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Ситуация</w:t>
            </w:r>
          </w:p>
        </w:tc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Функция / сегмент</w:t>
            </w:r>
          </w:p>
        </w:tc>
        <w:tc>
          <w:tcPr>
            <w:tcW w:type="dxa" w:w="2154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Ключевой риск</w:t>
            </w:r>
          </w:p>
        </w:tc>
        <w:tc>
          <w:tcPr>
            <w:tcW w:type="dxa" w:w="1587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 технологии</w:t>
            </w:r>
          </w:p>
        </w:tc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Кому показывать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01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селлер на маркетплейсах и исчезающая прибыль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Маркетплейсы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комиссии и промо съедают прибыль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Диагностика, Сессия, Спринт, Сопровождение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руководителю e-commerce / электронной торговли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02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производитель бытовой химии и промо-ловушка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Производство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промо даёт выручку без прибыли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Диагностика, Сессия, Спринт, Сопровождение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коммерческому директору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03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сайт и маркетплейсы начали воевать ценой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Омниканальные продажи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канальный конфликт цены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Диагностика, Сессия, Спринт, Сопровождение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директору по продажам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04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региональная продуктовая сеть и прибыль на полке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Розница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прибыль зависит от полки, списаний и запаса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Диагностика, Сессия, Спринт, Сопровождение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операционному и коммерческому директору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05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бренд одежды и размерные остатки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Мода и одежда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размерные остатки замораживают прибыль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Диагностика, Сессия, Спринт, Сопровождение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директору бренда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06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дистрибьютор электроники и скрытая стоимость канала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Дистрибуция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канал выглядит оборотным, но дорогим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Диагностика, Сессия, Спринт, Сопровождение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финансовому и коммерческому директору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07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сеть кафе и доставка съедала прибыль меню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HoReCa / общепит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доставка меняет экономику блюда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Диагностика, Сессия, Спринт, Сопровождение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управляющему сети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08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производитель мебели и склад заказных позиций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Производство на заказ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запас и сроки ломают прибыльность ассортимента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Диагностика, Сессия, Спринт, Сопровождение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собственнику и директору производства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09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стоп-решение после диагностики и несводимые данные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Импорт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данные не позволяют ответственно продолжать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 -&gt; Стоп-решение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собственнику перед началом проекта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фарм-дистрибьютор и срок годности в каналах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Фарма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срок годности и канал меняют прибыль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Диагностика, Сессия, Спринт, Сопровождение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директору по продажам и качеству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автозапчасти и длинный хвост совместимости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Автозапчасти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длинный хвост SKU маскирует потери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Диагностика, Сессия, Спринт, Сопровождение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категорийному и коммерческому директору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строительные материалы и тяжёлая логистика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Стройматериалы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логистика меняет реальную прибыльность</w:t>
            </w:r>
          </w:p>
        </w:tc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Диагностика, Сессия, Спринт, Сопровождение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директору по логистике и продажам</w:t>
            </w:r>
          </w:p>
        </w:tc>
      </w:tr>
    </w:tbl>
    <w:p/>
    <w:p>
      <w:pPr>
        <w:pStyle w:val="Heading1"/>
      </w:pPr>
      <w:r>
        <w:t>2. Как использовать каталог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320"/>
        <w:gridCol w:w="4320"/>
      </w:tblGrid>
      <w:tr>
        <w:trPr>
          <w:tblHeader w:val="true"/>
        </w:trPr>
        <w:tc>
          <w:tcPr>
            <w:tcW w:type="dxa" w:w="2835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Задача</w:t>
            </w:r>
          </w:p>
        </w:tc>
        <w:tc>
          <w:tcPr>
            <w:tcW w:type="dxa" w:w="6236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Как выбирать кейс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Продать диагностику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Показывать кейсы с похожей болью: прибыль исчезает при росте продаж, промо, комиссии, запас.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Объяснить стоп-решение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Показывать кейс 09: технология не обязана продолжать проект при несводимых данных.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Обучить консультанта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Смотреть не сюжет, а связку: этап -&gt; документ -&gt; рабочая книга -&gt; управленческий вывод.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Подобрать пример для руководителя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Выбирать по функции: коммерция, финансы, продажи, логистика, e-commerce / электронная торговля.</w:t>
            </w:r>
          </w:p>
        </w:tc>
      </w:tr>
    </w:tbl>
    <w:p/>
    <w:p>
      <w:pPr>
        <w:pStyle w:val="Heading1"/>
      </w:pPr>
      <w:r>
        <w:t>3. Связь с рабочими книгами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320"/>
        <w:gridCol w:w="4320"/>
      </w:tblGrid>
      <w:tr>
        <w:trPr>
          <w:tblHeader w:val="true"/>
        </w:trPr>
        <w:tc>
          <w:tcPr>
            <w:tcW w:type="dxa" w:w="2835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Рабочая книга</w:t>
            </w:r>
          </w:p>
        </w:tc>
        <w:tc>
          <w:tcPr>
            <w:tcW w:type="dxa" w:w="6236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Где применяется в кейсах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 Документация/10 Диагностика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Во всех кейсах; в кейсе 09 является основанием для остановки.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 Документация/20 Сессия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Во всех кейсах, кроме стоп-кейса 09.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 Документация/30 Спринт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Во всех кейсах, кроме стоп-кейса 09.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 Документация/40 Сопровождение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Во всех кейсах, кроме стоп-кейса 09.</w:t>
            </w:r>
          </w:p>
        </w:tc>
      </w:tr>
    </w:tbl>
    <w:p/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