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Паспорт технологии для сайта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Передать внешнему исполнителю точную внешнюю рамку технологии после P1-P2: что обещать, что не обещать, какие продукты и какие материалы использовать.</w:t>
            </w:r>
          </w:p>
        </w:tc>
      </w:tr>
    </w:tbl>
    <w:p>
      <w:pPr>
        <w:spacing w:after="20"/>
      </w:pPr>
    </w:p>
    <w:p>
      <w:pPr>
        <w:pStyle w:val="Heading1"/>
      </w:pPr>
      <w:r>
        <w:t>1. Позиционирование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Формула. </w:t>
            </w:r>
            <w:r>
              <w:rPr>
                <w:rFonts w:ascii="Arial" w:hAnsi="Arial"/>
                <w:color w:val="212730"/>
                <w:sz w:val="19"/>
              </w:rPr>
              <w:t>Контур Маржи - технология управления ассортиментной прибылью в омниканальных продажах.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49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Элемент</w:t>
            </w:r>
          </w:p>
        </w:tc>
        <w:tc>
          <w:tcPr>
            <w:tcW w:type="dxa" w:w="6746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Формулировка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Для кого</w:t>
            </w:r>
          </w:p>
        </w:tc>
        <w:tc>
          <w:tcPr>
            <w:tcW w:type="dxa" w:w="674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собственник, генеральный директор, коммерческий директор, финансовый директор, руководитель электронной торговли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Проблема</w:t>
            </w:r>
          </w:p>
        </w:tc>
        <w:tc>
          <w:tcPr>
            <w:tcW w:type="dxa" w:w="674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продажи растут, но не видно, где товар, канал, промо, комиссия, запас или возврат съедают прибыль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Единица управления</w:t>
            </w:r>
          </w:p>
        </w:tc>
        <w:tc>
          <w:tcPr>
            <w:tcW w:type="dxa" w:w="674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SKU / товарная позиция x канал x цена x запас x комиссия x промо x возврат x владелец</w:t>
            </w:r>
          </w:p>
        </w:tc>
      </w:tr>
      <w:tr>
        <w:tc>
          <w:tcPr>
            <w:tcW w:type="dxa" w:w="249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Результат</w:t>
            </w:r>
          </w:p>
        </w:tc>
        <w:tc>
          <w:tcPr>
            <w:tcW w:type="dxa" w:w="674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потерь, решения, владельцы, ритм и контрольный переход / gate</w:t>
            </w:r>
          </w:p>
        </w:tc>
      </w:tr>
    </w:tbl>
    <w:p>
      <w:pPr>
        <w:pStyle w:val="Heading1"/>
      </w:pPr>
      <w:r>
        <w:t>2. Продукты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04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Продукт</w:t>
            </w:r>
          </w:p>
        </w:tc>
        <w:tc>
          <w:tcPr>
            <w:tcW w:type="dxa" w:w="181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Срок</w:t>
            </w:r>
          </w:p>
        </w:tc>
        <w:tc>
          <w:tcPr>
            <w:tcW w:type="dxa" w:w="5386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Публичный смысл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Диагностика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7-12 рабочих дней</w:t>
            </w:r>
          </w:p>
        </w:tc>
        <w:tc>
          <w:tcPr>
            <w:tcW w:type="dxa" w:w="538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платный вход: карта данных, карта потерь, 12 метрик и вердикт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 день + подготовка</w:t>
            </w:r>
          </w:p>
        </w:tc>
        <w:tc>
          <w:tcPr>
            <w:tcW w:type="dxa" w:w="538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решения, владельцы, пороги и паспорт Спринта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Спринт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8-12 недель</w:t>
            </w:r>
          </w:p>
        </w:tc>
        <w:tc>
          <w:tcPr>
            <w:tcW w:type="dxa" w:w="538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проверка и внедрение контура решений на ограниченном участке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Сопровождение</w:t>
            </w:r>
          </w:p>
        </w:tc>
        <w:tc>
          <w:tcPr>
            <w:tcW w:type="dxa" w:w="181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от 3 месяцев</w:t>
            </w:r>
          </w:p>
        </w:tc>
        <w:tc>
          <w:tcPr>
            <w:tcW w:type="dxa" w:w="538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удержание контура, исключения, ревизии и сценарии</w:t>
            </w:r>
          </w:p>
        </w:tc>
      </w:tr>
    </w:tbl>
    <w:p>
      <w:pPr>
        <w:pStyle w:val="Heading1"/>
      </w:pPr>
      <w:r>
        <w:t>3. Запрещенные обещания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обещать рост прибыли до данных, решений и внедрения;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выдавать модельные кейсы за реальные внедрения;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продавать рабочие книги как самостоятельный продукт;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позиционировать технологию как BI / бизнес-аналитику, аудит маркетплейсов или набор электронных таблиц;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делать юридические утверждения без отдельного фактчека.</w:t>
      </w:r>
    </w:p>
    <w:p>
      <w:pPr>
        <w:pStyle w:val="Heading1"/>
      </w:pPr>
      <w:r>
        <w:t>4. Источники для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351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Источник</w:t>
            </w:r>
          </w:p>
        </w:tc>
        <w:tc>
          <w:tcPr>
            <w:tcW w:type="dxa" w:w="5726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Как использовать</w:t>
            </w:r>
          </w:p>
        </w:tc>
      </w:tr>
      <w:tr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Клиентская схема ядра</w:t>
            </w:r>
          </w:p>
        </w:tc>
        <w:tc>
          <w:tcPr>
            <w:tcW w:type="dxa" w:w="572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первый экран и объяснение сути</w:t>
            </w:r>
          </w:p>
        </w:tc>
      </w:tr>
      <w:tr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Клиентский лист Диагностики</w:t>
            </w:r>
          </w:p>
        </w:tc>
        <w:tc>
          <w:tcPr>
            <w:tcW w:type="dxa" w:w="572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блок платного входа</w:t>
            </w:r>
          </w:p>
        </w:tc>
      </w:tr>
      <w:tr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Продукты, сроки и цены</w:t>
            </w:r>
          </w:p>
        </w:tc>
        <w:tc>
          <w:tcPr>
            <w:tcW w:type="dxa" w:w="572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ценовые рамки и коммерческие границы</w:t>
            </w:r>
          </w:p>
        </w:tc>
      </w:tr>
      <w:tr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Навигатор кейсов</w:t>
            </w:r>
          </w:p>
        </w:tc>
        <w:tc>
          <w:tcPr>
            <w:tcW w:type="dxa" w:w="572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подбор 3-5 модельных кейсов по сегментам</w:t>
            </w:r>
          </w:p>
        </w:tc>
      </w:tr>
      <w:tr>
        <w:tc>
          <w:tcPr>
            <w:tcW w:type="dxa" w:w="351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Правила коммерческих утверждений</w:t>
            </w:r>
          </w:p>
        </w:tc>
        <w:tc>
          <w:tcPr>
            <w:tcW w:type="dxa" w:w="5726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проверка публичных формулировок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