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0B1F33"/>
            <w:tcBorders>
              <w:top w:val="single" w:sz="0" w:space="0" w:color="0B1F33"/>
              <w:left w:val="single" w:sz="0" w:space="0" w:color="0B1F33"/>
              <w:bottom w:val="single" w:sz="0" w:space="0" w:color="0B1F33"/>
              <w:right w:val="single" w:sz="0" w:space="0" w:color="0B1F33"/>
              <w:insideH w:val="single" w:sz="0" w:space="0" w:color="0B1F33"/>
              <w:insideV w:val="single" w:sz="0" w:space="0" w:color="0B1F33"/>
            </w:tcBorders>
            <w:tcMar>
              <w:top w:w="420" w:type="dxa"/>
              <w:start w:w="360" w:type="dxa"/>
              <w:bottom w:w="420" w:type="dxa"/>
              <w:end w:w="360" w:type="dxa"/>
            </w:tcMar>
          </w:tcPr>
          <w:p>
            <w:r>
              <w:rPr>
                <w:rFonts w:ascii="Georgia" w:hAnsi="Georgia" w:eastAsia="Georgia"/>
                <w:b/>
                <w:color w:val="F3EBDD"/>
                <w:sz w:val="48"/>
              </w:rPr>
              <w:t>Переговорная Архитектура</w:t>
            </w:r>
          </w:p>
          <w:p>
            <w:pPr>
              <w:spacing w:before="160" w:after="40" w:line="269" w:lineRule="auto"/>
            </w:pPr>
            <w:r>
              <w:rPr>
                <w:rFonts w:ascii="Georgia" w:hAnsi="Georgia" w:eastAsia="Georgia"/>
                <w:b w:val="0"/>
                <w:color w:val="FFFFFF"/>
                <w:sz w:val="28"/>
              </w:rPr>
              <w:t>Состав пакета и порядок использования</w:t>
            </w:r>
          </w:p>
          <w:p>
            <w:pPr>
              <w:spacing w:before="360" w:after="0" w:line="269" w:lineRule="auto"/>
            </w:pPr>
            <w:r>
              <w:rPr>
                <w:rFonts w:ascii="Calibri" w:hAnsi="Calibri" w:eastAsia="Calibri"/>
                <w:b w:val="0"/>
                <w:color w:val="D8C7B3"/>
                <w:sz w:val="19"/>
              </w:rPr>
              <w:t>C-Level Insight / рабочая документация технологии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1870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Статус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официальный навигатор пакета</w:t>
            </w:r>
          </w:p>
        </w:tc>
        <w:tc>
          <w:tcPr>
            <w:tcW w:type="dxa" w:w="2381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Версия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v1.0</w:t>
            </w:r>
          </w:p>
        </w:tc>
        <w:tc>
          <w:tcPr>
            <w:tcW w:type="dxa" w:w="2494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Дата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12 июля 2026</w:t>
            </w:r>
          </w:p>
        </w:tc>
        <w:tc>
          <w:tcPr>
            <w:tcW w:type="dxa" w:w="2607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Формат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DOCX / документ Word; XLSX / таблица Excel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Назначение.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Документ показывает, что входит в готовый пакет Переговорной Архитектуры, в каком порядке им пользоваться и где проходит стоп-линия против разрастания системы.</w:t>
            </w:r>
          </w:p>
        </w:tc>
      </w:tr>
    </w:tbl>
    <w:p/>
    <w:p>
      <w:pPr>
        <w:pStyle w:val="Heading1"/>
      </w:pPr>
      <w:r>
        <w:t>1. Состав готового пакета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Файл</w:t>
            </w:r>
          </w:p>
        </w:tc>
        <w:tc>
          <w:tcPr>
            <w:tcW w:type="dxa" w:w="113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Формат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Роль в пакете</w:t>
            </w:r>
          </w:p>
        </w:tc>
        <w:tc>
          <w:tcPr>
            <w:tcW w:type="dxa" w:w="164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00 Состав пакета и порядок использования</w:t>
            </w:r>
          </w:p>
        </w:tc>
        <w:tc>
          <w:tcPr>
            <w:tcW w:type="dxa" w:w="113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DOCX / документ Word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навигация, стандарт оформления, стоп-линия</w:t>
            </w:r>
          </w:p>
        </w:tc>
        <w:tc>
          <w:tcPr>
            <w:tcW w:type="dxa" w:w="164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клиентский контур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04 Паспорт технологии</w:t>
            </w:r>
          </w:p>
        </w:tc>
        <w:tc>
          <w:tcPr>
            <w:tcW w:type="dxa" w:w="113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DOCX / документ Word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определение, рамка, объект управления</w:t>
            </w:r>
          </w:p>
        </w:tc>
        <w:tc>
          <w:tcPr>
            <w:tcW w:type="dxa" w:w="164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клиентский контур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05 Цикл работы</w:t>
            </w:r>
          </w:p>
        </w:tc>
        <w:tc>
          <w:tcPr>
            <w:tcW w:type="dxa" w:w="113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DOCX / документ Word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логика применения технологии по шагам</w:t>
            </w:r>
          </w:p>
        </w:tc>
        <w:tc>
          <w:tcPr>
            <w:tcW w:type="dxa" w:w="164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клиентский контур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06 Модули и формы</w:t>
            </w:r>
          </w:p>
        </w:tc>
        <w:tc>
          <w:tcPr>
            <w:tcW w:type="dxa" w:w="113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DOCX / документ Word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связь модулей, форм и управленческих выходов</w:t>
            </w:r>
          </w:p>
        </w:tc>
        <w:tc>
          <w:tcPr>
            <w:tcW w:type="dxa" w:w="164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клиентский контур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10 Сводные выводы</w:t>
            </w:r>
          </w:p>
        </w:tc>
        <w:tc>
          <w:tcPr>
            <w:tcW w:type="dxa" w:w="113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DOCX / документ Word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доказательная сводка границ применимости и стоп-линий</w:t>
            </w:r>
          </w:p>
        </w:tc>
        <w:tc>
          <w:tcPr>
            <w:tcW w:type="dxa" w:w="164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клиентский контур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13 Короткая полевая версия</w:t>
            </w:r>
          </w:p>
        </w:tc>
        <w:tc>
          <w:tcPr>
            <w:tcW w:type="dxa" w:w="113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DOCX / документ Word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первый проход по реальной ситуации</w:t>
            </w:r>
          </w:p>
        </w:tc>
        <w:tc>
          <w:tcPr>
            <w:tcW w:type="dxa" w:w="164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клиентский контур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17-23 Рабочие формы</w:t>
            </w:r>
          </w:p>
        </w:tc>
        <w:tc>
          <w:tcPr>
            <w:tcW w:type="dxa" w:w="113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XLSX / таблицы Excel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заполнение, расчеты, фиксация решений</w:t>
            </w:r>
          </w:p>
        </w:tc>
        <w:tc>
          <w:tcPr>
            <w:tcW w:type="dxa" w:w="164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клиентский контур</w:t>
            </w:r>
          </w:p>
        </w:tc>
      </w:tr>
    </w:tbl>
    <w:p/>
    <w:p>
      <w:r>
        <w:br w:type="page"/>
      </w:r>
    </w:p>
    <w:p>
      <w:pPr>
        <w:pStyle w:val="Heading1"/>
      </w:pPr>
      <w:r>
        <w:t>2. Что остается служебным слоем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Слой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Что входит</w:t>
            </w:r>
          </w:p>
        </w:tc>
        <w:tc>
          <w:tcPr>
            <w:tcW w:type="dxa" w:w="391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Как использовать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Первоисточники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книга, аудит первоисточника, дополнительные материалы</w:t>
            </w:r>
          </w:p>
        </w:tc>
        <w:tc>
          <w:tcPr>
            <w:tcW w:type="dxa" w:w="391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подтверждать происхождение технологии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Служебные проверки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файлы 07-12, прогоны, полевые тесты</w:t>
            </w:r>
          </w:p>
        </w:tc>
        <w:tc>
          <w:tcPr>
            <w:tcW w:type="dxa" w:w="391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 включать в клиентский пакет; использовать как доказательную линию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MD / Markdown-версии форм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рабочие описания 17-23</w:t>
            </w:r>
          </w:p>
        </w:tc>
        <w:tc>
          <w:tcPr>
            <w:tcW w:type="dxa" w:w="391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оставить в рабочем контуре, не переносить в готовую документацию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Архив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фантазийные материалы</w:t>
            </w:r>
          </w:p>
        </w:tc>
        <w:tc>
          <w:tcPr>
            <w:tcW w:type="dxa" w:w="391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 использовать в новом контуре</w:t>
            </w:r>
          </w:p>
        </w:tc>
      </w:tr>
    </w:tbl>
    <w:p/>
    <w:p>
      <w:pPr>
        <w:pStyle w:val="Heading1"/>
      </w:pPr>
      <w:r>
        <w:t>3. Порядок использования</w:t>
      </w:r>
    </w:p>
    <w:p>
      <w:pPr>
        <w:spacing w:before="40" w:after="80" w:line="252" w:lineRule="auto"/>
      </w:pPr>
      <w:r>
        <w:rPr>
          <w:rFonts w:ascii="Calibri" w:hAnsi="Calibri" w:eastAsia="Calibri"/>
          <w:b w:val="0"/>
          <w:color w:val="475569"/>
          <w:sz w:val="17"/>
        </w:rPr>
        <w:t>Схема первого прохода через пакет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79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Шаг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Что открыть</w:t>
            </w:r>
          </w:p>
        </w:tc>
        <w:tc>
          <w:tcPr>
            <w:tcW w:type="dxa" w:w="561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79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13 Короткая полевая версия</w:t>
            </w:r>
          </w:p>
        </w:tc>
        <w:tc>
          <w:tcPr>
            <w:tcW w:type="dxa" w:w="561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один управленческий вывод по ситуации</w:t>
            </w:r>
          </w:p>
        </w:tc>
      </w:tr>
      <w:tr>
        <w:tc>
          <w:tcPr>
            <w:tcW w:type="dxa" w:w="79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2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нужный блок 17-23</w:t>
            </w:r>
          </w:p>
        </w:tc>
        <w:tc>
          <w:tcPr>
            <w:tcW w:type="dxa" w:w="561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закрытый разрыв: данные, цели, роли, уступки, риски или показатели</w:t>
            </w:r>
          </w:p>
        </w:tc>
      </w:tr>
      <w:tr>
        <w:tc>
          <w:tcPr>
            <w:tcW w:type="dxa" w:w="79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3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04 / 05 / 06</w:t>
            </w:r>
          </w:p>
        </w:tc>
        <w:tc>
          <w:tcPr>
            <w:tcW w:type="dxa" w:w="561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проверка рамки технологии, если возник методологический спор</w:t>
            </w:r>
          </w:p>
        </w:tc>
      </w:tr>
      <w:tr>
        <w:tc>
          <w:tcPr>
            <w:tcW w:type="dxa" w:w="79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4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10 Сводные выводы</w:t>
            </w:r>
          </w:p>
        </w:tc>
        <w:tc>
          <w:tcPr>
            <w:tcW w:type="dxa" w:w="561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доказательная проверка границ применимости и стоп-линий</w:t>
            </w:r>
          </w:p>
        </w:tc>
      </w:tr>
      <w:tr>
        <w:tc>
          <w:tcPr>
            <w:tcW w:type="dxa" w:w="79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5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XLSX / таблицы Excel 17-23</w:t>
            </w:r>
          </w:p>
        </w:tc>
        <w:tc>
          <w:tcPr>
            <w:tcW w:type="dxa" w:w="561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заполненный рабочий след решения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3EB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Главное правило.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Сначала используется файл 13. Полные формы 17-23 открываются только при разрыве короткого прохода. Цель - управленческий вывод, а не заполнение всего массива.</w:t>
            </w:r>
          </w:p>
        </w:tc>
      </w:tr>
    </w:tbl>
    <w:p/>
    <w:p>
      <w:r>
        <w:br w:type="page"/>
      </w:r>
    </w:p>
    <w:p>
      <w:pPr>
        <w:pStyle w:val="Heading1"/>
      </w:pPr>
      <w:r>
        <w:t>4. Когда открывать полные формы 17-23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68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Разрыв</w:t>
            </w:r>
          </w:p>
        </w:tc>
        <w:tc>
          <w:tcPr>
            <w:tcW w:type="dxa" w:w="119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Открыть</w:t>
            </w:r>
          </w:p>
        </w:tc>
        <w:tc>
          <w:tcPr>
            <w:tcW w:type="dxa" w:w="447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Зачем</w:t>
            </w:r>
          </w:p>
        </w:tc>
      </w:tr>
      <w:tr>
        <w:tc>
          <w:tcPr>
            <w:tcW w:type="dxa" w:w="368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непонятна ситуация, ставка или недостающие данные</w:t>
            </w:r>
          </w:p>
        </w:tc>
        <w:tc>
          <w:tcPr>
            <w:tcW w:type="dxa" w:w="119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17</w:t>
            </w:r>
          </w:p>
        </w:tc>
        <w:tc>
          <w:tcPr>
            <w:tcW w:type="dxa" w:w="447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восстановить вход в ситуацию</w:t>
            </w:r>
          </w:p>
        </w:tc>
      </w:tr>
      <w:tr>
        <w:tc>
          <w:tcPr>
            <w:tcW w:type="dxa" w:w="368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смешаны цель, минимум, BATNA / лучшая альтернатива и ZOPA / зона соглашения</w:t>
            </w:r>
          </w:p>
        </w:tc>
        <w:tc>
          <w:tcPr>
            <w:tcW w:type="dxa" w:w="119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18</w:t>
            </w:r>
          </w:p>
        </w:tc>
        <w:tc>
          <w:tcPr>
            <w:tcW w:type="dxa" w:w="447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развести результат, нижнюю границу, запасной сценарий и диапазон</w:t>
            </w:r>
          </w:p>
        </w:tc>
      </w:tr>
      <w:tr>
        <w:tc>
          <w:tcPr>
            <w:tcW w:type="dxa" w:w="368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неясно, кто влияет на решение</w:t>
            </w:r>
          </w:p>
        </w:tc>
        <w:tc>
          <w:tcPr>
            <w:tcW w:type="dxa" w:w="119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19</w:t>
            </w:r>
          </w:p>
        </w:tc>
        <w:tc>
          <w:tcPr>
            <w:tcW w:type="dxa" w:w="447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увидеть роли, интересы, ограничения, полномочия</w:t>
            </w:r>
          </w:p>
        </w:tc>
      </w:tr>
      <w:tr>
        <w:tc>
          <w:tcPr>
            <w:tcW w:type="dxa" w:w="368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нет владельца решения, паузы или следующего шага</w:t>
            </w:r>
          </w:p>
        </w:tc>
        <w:tc>
          <w:tcPr>
            <w:tcW w:type="dxa" w:w="119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20</w:t>
            </w:r>
          </w:p>
        </w:tc>
        <w:tc>
          <w:tcPr>
            <w:tcW w:type="dxa" w:w="447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определить сценарий и право на паузу</w:t>
            </w:r>
          </w:p>
        </w:tc>
      </w:tr>
      <w:tr>
        <w:tc>
          <w:tcPr>
            <w:tcW w:type="dxa" w:w="368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уступки отдаются без цены или встречного шага</w:t>
            </w:r>
          </w:p>
        </w:tc>
        <w:tc>
          <w:tcPr>
            <w:tcW w:type="dxa" w:w="119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21</w:t>
            </w:r>
          </w:p>
        </w:tc>
        <w:tc>
          <w:tcPr>
            <w:tcW w:type="dxa" w:w="447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посчитать цену уступок и обмен ценностью</w:t>
            </w:r>
          </w:p>
        </w:tc>
      </w:tr>
      <w:tr>
        <w:tc>
          <w:tcPr>
            <w:tcW w:type="dxa" w:w="368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решение принимается под давлением или без проверки</w:t>
            </w:r>
          </w:p>
        </w:tc>
        <w:tc>
          <w:tcPr>
            <w:tcW w:type="dxa" w:w="119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22</w:t>
            </w:r>
          </w:p>
        </w:tc>
        <w:tc>
          <w:tcPr>
            <w:tcW w:type="dxa" w:w="447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проверить риски решения и безопасный шаг</w:t>
            </w:r>
          </w:p>
        </w:tc>
      </w:tr>
      <w:tr>
        <w:tc>
          <w:tcPr>
            <w:tcW w:type="dxa" w:w="368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нет управленческого вывода или показателей</w:t>
            </w:r>
          </w:p>
        </w:tc>
        <w:tc>
          <w:tcPr>
            <w:tcW w:type="dxa" w:w="119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23</w:t>
            </w:r>
          </w:p>
        </w:tc>
        <w:tc>
          <w:tcPr>
            <w:tcW w:type="dxa" w:w="447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зафиксировать решение, показатели и критерий плохого решения</w:t>
            </w:r>
          </w:p>
        </w:tc>
      </w:tr>
    </w:tbl>
    <w:p/>
    <w:p>
      <w:pPr>
        <w:pStyle w:val="Heading1"/>
      </w:pPr>
      <w:r>
        <w:t>5. Мини-стандарт оформления C-Level Insight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3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97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Решение для документов Переговорной Архитектуры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Визуальная формула</w:t>
            </w:r>
          </w:p>
        </w:tc>
        <w:tc>
          <w:tcPr>
            <w:tcW w:type="dxa" w:w="697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управленческая архитектура + диагностическая точность + теплая бумажная подача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Основной режим</w:t>
            </w:r>
          </w:p>
        </w:tc>
        <w:tc>
          <w:tcPr>
            <w:tcW w:type="dxa" w:w="697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архитектура решений, стратегический чертеж, управленческое досье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Палитра</w:t>
            </w:r>
          </w:p>
        </w:tc>
        <w:tc>
          <w:tcPr>
            <w:tcW w:type="dxa" w:w="697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темно-синий #0B1F33, теплый бумажный #F3EBDD, графит #111827, медный #B46A3C, приглушенный бирюзовый #0F766E, диагностический красный #B91C1C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Тон</w:t>
            </w:r>
          </w:p>
        </w:tc>
        <w:tc>
          <w:tcPr>
            <w:tcW w:type="dxa" w:w="697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формально-деловой, жесткий по сути, спокойный по подаче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Таблицы</w:t>
            </w:r>
          </w:p>
        </w:tc>
        <w:tc>
          <w:tcPr>
            <w:tcW w:type="dxa" w:w="697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только для сравнения, статуса, маршрута и матриц; без плотных простыней текста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Схемы</w:t>
            </w:r>
          </w:p>
        </w:tc>
        <w:tc>
          <w:tcPr>
            <w:tcW w:type="dxa" w:w="697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карты решений, контуры, переходы, точки решения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Запрет</w:t>
            </w:r>
          </w:p>
        </w:tc>
        <w:tc>
          <w:tcPr>
            <w:tcW w:type="dxa" w:w="697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инфобизнесовый тон, мотивационная подача, ИИ-хайп, стоковые офисные изображения, агрессивный красный, декоративные картинки без функции</w:t>
            </w:r>
          </w:p>
        </w:tc>
      </w:tr>
    </w:tbl>
    <w:p/>
    <w:p>
      <w:pPr>
        <w:pStyle w:val="Heading1"/>
      </w:pPr>
      <w:r>
        <w:t>6. Стоп-линия пакета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Не создаем в рамках готовой документации</w:t>
            </w:r>
          </w:p>
        </w:tc>
        <w:tc>
          <w:tcPr>
            <w:tcW w:type="dxa" w:w="549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Почему</w:t>
            </w:r>
          </w:p>
        </w:tc>
      </w:tr>
      <w:tr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новые формы, включая форму 24</w:t>
            </w:r>
          </w:p>
        </w:tc>
        <w:tc>
          <w:tcPr>
            <w:tcW w:type="dxa" w:w="549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первая версия ограничена формами 17-23</w:t>
            </w:r>
          </w:p>
        </w:tc>
      </w:tr>
      <w:tr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новый тест или новый круг проверки</w:t>
            </w:r>
          </w:p>
        </w:tc>
        <w:tc>
          <w:tcPr>
            <w:tcW w:type="dxa" w:w="549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тесты остановлены, идет сборка готовой документации</w:t>
            </w:r>
          </w:p>
        </w:tc>
      </w:tr>
      <w:tr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оффер, лендинг, презентацию</w:t>
            </w:r>
          </w:p>
        </w:tc>
        <w:tc>
          <w:tcPr>
            <w:tcW w:type="dxa" w:w="549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коммерческая упаковка активна в релизной логике: 4 платных продукта уже зафиксированы, но ядро технологии не подменяется продажной оболочкой</w:t>
            </w:r>
          </w:p>
        </w:tc>
      </w:tr>
      <w:tr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отраслевую версию</w:t>
            </w:r>
          </w:p>
        </w:tc>
        <w:tc>
          <w:tcPr>
            <w:tcW w:type="dxa" w:w="549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сейчас нужен общий рабочий комплект технологии</w:t>
            </w:r>
          </w:p>
        </w:tc>
      </w:tr>
      <w:tr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обещания роста маржи, победы или скорости согласования</w:t>
            </w:r>
          </w:p>
        </w:tc>
        <w:tc>
          <w:tcPr>
            <w:tcW w:type="dxa" w:w="549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документация фиксирует управляемость и разрывы, а не гарантии результата</w:t>
            </w:r>
          </w:p>
        </w:tc>
      </w:tr>
    </w:tbl>
    <w:p/>
    <w:p>
      <w:pPr>
        <w:pStyle w:val="Heading1"/>
      </w:pPr>
      <w:r>
        <w:t>7. Критерий готовности документации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623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Как проверяется</w:t>
            </w:r>
          </w:p>
        </w:tc>
      </w:tr>
      <w:tr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все клиентские документы имеют формат DOCX / документ Word или XLSX / таблица Excel</w:t>
            </w:r>
          </w:p>
        </w:tc>
        <w:tc>
          <w:tcPr>
            <w:tcW w:type="dxa" w:w="623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в папке 05 нет MD / Markdown-файлов</w:t>
            </w:r>
          </w:p>
        </w:tc>
      </w:tr>
      <w:tr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документы оформлены в едином стиле</w:t>
            </w:r>
          </w:p>
        </w:tc>
        <w:tc>
          <w:tcPr>
            <w:tcW w:type="dxa" w:w="623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единые цвета, титул, таблицы, стоп-линия, статус</w:t>
            </w:r>
          </w:p>
        </w:tc>
      </w:tr>
      <w:tr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каждый документ имеет назначение и границы</w:t>
            </w:r>
          </w:p>
        </w:tc>
        <w:tc>
          <w:tcPr>
            <w:tcW w:type="dxa" w:w="623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нет текста без управленческого выхода</w:t>
            </w:r>
          </w:p>
        </w:tc>
      </w:tr>
      <w:tr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формы 17-23 читаемы и технически проверены</w:t>
            </w:r>
          </w:p>
        </w:tc>
        <w:tc>
          <w:tcPr>
            <w:tcW w:type="dxa" w:w="623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XLSX / таблицы Excel открываются, листы понятны, ошибок формул нет</w:t>
            </w:r>
          </w:p>
        </w:tc>
      </w:tr>
      <w:tr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DOCX / документы Word прошли визуальную проверку</w:t>
            </w:r>
          </w:p>
        </w:tc>
        <w:tc>
          <w:tcPr>
            <w:tcW w:type="dxa" w:w="623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рендер страниц через LibreOffice без наложений и обрезки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EEF7F6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  <w:insideH w:val="single" w:sz="8" w:space="0" w:color="0F766E"/>
              <w:insideV w:val="single" w:sz="8" w:space="0" w:color="0F766E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0F766E"/>
                <w:sz w:val="20"/>
              </w:rPr>
              <w:t xml:space="preserve">Текущий следующий шаг.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После утверждения этого навигатора оформляются DOCX / документы Word 04, 05, 06, 10, 13 и приводятся XLSX / таблицы Excel 17-23 к единому визуальному стандарту.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Рабочая документация технологии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C-Level Insight / Переговорная Архитектура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 w:eastAsia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B46A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