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0B2235"/>
            <w:vAlign w:val="center"/>
          </w:tcPr>
          <w:p>
            <w:pPr>
              <w:spacing w:after="140" w:before="140"/>
              <w:jc w:val="left"/>
            </w:pPr>
            <w:r/>
            <w:r>
              <w:rPr>
                <w:rFonts w:ascii="Arial" w:hAnsi="Arial" w:eastAsia="Arial"/>
                <w:b/>
                <w:color w:val="FFFFFF"/>
                <w:sz w:val="28"/>
              </w:rPr>
              <w:t>Архитектура Переговоров / Спринт / Итоговый отчет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Продукт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Спринт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Артефакт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Итоговый отчет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Версия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V1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Дата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28 июля 2026</w:t>
            </w:r>
          </w:p>
        </w:tc>
      </w:tr>
      <w:tr>
        <w:trPr>
          <w:cantSplit/>
        </w:trPr>
        <w:tc>
          <w:tcPr>
            <w:tcW w:type="dxa" w:w="1360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Статус</w:t>
            </w:r>
          </w:p>
        </w:tc>
        <w:tc>
          <w:tcPr>
            <w:tcW w:type="dxa" w:w="311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P1B / проводимый материал</w:t>
            </w:r>
          </w:p>
        </w:tc>
        <w:tc>
          <w:tcPr>
            <w:tcW w:type="dxa" w:w="1247"/>
            <w:vAlign w:val="center"/>
            <w:shd w:fill="F3EBDD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/>
                <w:color w:val="1F2937"/>
                <w:sz w:val="16"/>
              </w:rPr>
              <w:t>Аудитория</w:t>
            </w:r>
          </w:p>
        </w:tc>
        <w:tc>
          <w:tcPr>
            <w:tcW w:type="dxa" w:w="3572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средний бизнес; собственник и управленческая команда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0426"/>
      </w:tblGrid>
      <w:tr>
        <w:trPr>
          <w:cantSplit/>
        </w:trPr>
        <w:tc>
          <w:tcPr>
            <w:tcW w:type="dxa" w:w="9298"/>
            <w:shd w:fill="F3EBDD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8"/>
              </w:rPr>
              <w:t>Назначение. Документ фиксирует управленческий выход продукта: разрывы, выводы, ограничения, следующий шаг и границы обещаний.</w:t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1. Резюме для Руководителя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Поле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Вывод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Ситуация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Главная цена ошибки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Внешний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Внутренний контур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Главный переговорный разрыв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Решение</w:t>
            </w:r>
          </w:p>
        </w:tc>
        <w:tc>
          <w:tcPr>
            <w:tcW w:type="dxa" w:w="6463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2. Карта разрывов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06"/>
        <w:gridCol w:w="2606"/>
        <w:gridCol w:w="2606"/>
        <w:gridCol w:w="2606"/>
      </w:tblGrid>
      <w:tr>
        <w:trPr>
          <w:cantSplit/>
          <w:tblHeader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Блок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Статус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найдено</w:t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сделать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цель и минимум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BATNA / лучшая альтернатива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ZOPA / зона соглашения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карта влияния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уступки и встречные шаги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когнитивные риски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фиксация и показатели</w:t>
            </w:r>
          </w:p>
        </w:tc>
        <w:tc>
          <w:tcPr>
            <w:tcW w:type="dxa" w:w="124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2835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3. Gate / следующий шаг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rPr>
          <w:cantSplit/>
          <w:tblHeader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Вердикт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Основание</w:t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Что получает клиент дальше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продолжать при условиях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уточнить данные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взять паузу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  <w:tr>
        <w:trPr>
          <w:cantSplit/>
        </w:trPr>
        <w:tc>
          <w:tcPr>
            <w:tcW w:type="dxa" w:w="2268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отказать / завершить</w:t>
            </w:r>
          </w:p>
        </w:tc>
        <w:tc>
          <w:tcPr>
            <w:tcW w:type="dxa" w:w="3969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</w:r>
          </w:p>
        </w:tc>
      </w:tr>
    </w:tbl>
    <w:p>
      <w:pPr>
        <w:spacing w:before="280" w:after="120"/>
      </w:pPr>
      <w:r>
        <w:rPr>
          <w:rFonts w:ascii="Arial" w:hAnsi="Arial" w:eastAsia="Arial"/>
          <w:b/>
          <w:color w:val="0B2235"/>
          <w:sz w:val="32"/>
        </w:rPr>
        <w:t>4. Ограничения вывода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cantSplit/>
          <w:tblHeader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Ограничение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  <w:shd w:fill="0B2235"/>
          </w:tcPr>
          <w:p>
            <w:pPr>
              <w:spacing w:after="0"/>
              <w:jc w:val="left"/>
            </w:pPr>
            <w:r>
              <w:rPr>
                <w:b/>
                <w:color w:val="FFFFFF"/>
              </w:rPr>
            </w:r>
            <w:r>
              <w:rPr>
                <w:rFonts w:ascii="Arial" w:hAnsi="Arial" w:eastAsia="Arial"/>
                <w:b/>
                <w:color w:val="FFFFFF"/>
                <w:sz w:val="17"/>
              </w:rPr>
              <w:t>Формулировка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гарантии победы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технология повышает управляемость позиции, но не контролирует волю другой стороны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финансового аудита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денежные выводы требуют расчета и подтверждающих данных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юридического заключения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правовые риски передаются профильным специалистам</w:t>
            </w:r>
          </w:p>
        </w:tc>
      </w:tr>
      <w:tr>
        <w:trPr>
          <w:cantSplit/>
        </w:trPr>
        <w:tc>
          <w:tcPr>
            <w:tcW w:type="dxa" w:w="3061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нет психологической диагностики</w:t>
            </w:r>
          </w:p>
        </w:tc>
        <w:tc>
          <w:tcPr>
            <w:tcW w:type="dxa" w:w="6237"/>
            <w:vAlign w:val="center"/>
            <w:tcBorders>
              <w:top w:val="single" w:sz="6" w:space="0" w:color="D8C8B6"/>
              <w:left w:val="single" w:sz="6" w:space="0" w:color="D8C8B6"/>
              <w:bottom w:val="single" w:sz="6" w:space="0" w:color="D8C8B6"/>
              <w:right w:val="single" w:sz="6" w:space="0" w:color="D8C8B6"/>
            </w:tcBorders>
          </w:tcPr>
          <w:p>
            <w:pPr>
              <w:spacing w:after="0"/>
              <w:jc w:val="left"/>
            </w:pPr>
            <w:r/>
            <w:r>
              <w:rPr>
                <w:rFonts w:ascii="Arial" w:hAnsi="Arial" w:eastAsia="Arial"/>
                <w:b w:val="0"/>
                <w:color w:val="1F2937"/>
                <w:sz w:val="16"/>
              </w:rPr>
              <w:t>описываются роли и интересы, а не личности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 w:eastAsia="Arial"/>
        <w:color w:val="596B82"/>
        <w:sz w:val="17"/>
      </w:rPr>
      <w:t>Рабочая документация технологии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 w:eastAsia="Arial"/>
        <w:color w:val="596B82"/>
        <w:sz w:val="17"/>
      </w:rPr>
      <w:t>C-Level Insight / Архитектура Переговоров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