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0B2235"/>
            <w:vAlign w:val="center"/>
          </w:tcPr>
          <w:p>
            <w:pPr>
              <w:spacing w:after="140" w:before="140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28"/>
              </w:rPr>
              <w:t>Архитектура Переговоров / Сопровождение / Рабочая книга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cantSplit/>
        </w:trPr>
        <w:tc>
          <w:tcPr>
            <w:tcW w:type="dxa" w:w="1360"/>
            <w:vAlign w:val="center"/>
            <w:shd w:fill="F3EBDD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6"/>
              </w:rPr>
              <w:t>Продукт</w:t>
            </w:r>
          </w:p>
        </w:tc>
        <w:tc>
          <w:tcPr>
            <w:tcW w:type="dxa" w:w="311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Сопровождение</w:t>
            </w:r>
          </w:p>
        </w:tc>
        <w:tc>
          <w:tcPr>
            <w:tcW w:type="dxa" w:w="1247"/>
            <w:vAlign w:val="center"/>
            <w:shd w:fill="F3EBDD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6"/>
              </w:rPr>
              <w:t>Артефакт</w:t>
            </w:r>
          </w:p>
        </w:tc>
        <w:tc>
          <w:tcPr>
            <w:tcW w:type="dxa" w:w="357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Рабочая книга</w:t>
            </w:r>
          </w:p>
        </w:tc>
      </w:tr>
      <w:tr>
        <w:trPr>
          <w:cantSplit/>
        </w:trPr>
        <w:tc>
          <w:tcPr>
            <w:tcW w:type="dxa" w:w="1360"/>
            <w:vAlign w:val="center"/>
            <w:shd w:fill="F3EBDD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6"/>
              </w:rPr>
              <w:t>Версия</w:t>
            </w:r>
          </w:p>
        </w:tc>
        <w:tc>
          <w:tcPr>
            <w:tcW w:type="dxa" w:w="311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V1</w:t>
            </w:r>
          </w:p>
        </w:tc>
        <w:tc>
          <w:tcPr>
            <w:tcW w:type="dxa" w:w="1247"/>
            <w:vAlign w:val="center"/>
            <w:shd w:fill="F3EBDD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6"/>
              </w:rPr>
              <w:t>Дата</w:t>
            </w:r>
          </w:p>
        </w:tc>
        <w:tc>
          <w:tcPr>
            <w:tcW w:type="dxa" w:w="357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28 июля 2026</w:t>
            </w:r>
          </w:p>
        </w:tc>
      </w:tr>
      <w:tr>
        <w:trPr>
          <w:cantSplit/>
        </w:trPr>
        <w:tc>
          <w:tcPr>
            <w:tcW w:type="dxa" w:w="1360"/>
            <w:vAlign w:val="center"/>
            <w:shd w:fill="F3EBDD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6"/>
              </w:rPr>
              <w:t>Статус</w:t>
            </w:r>
          </w:p>
        </w:tc>
        <w:tc>
          <w:tcPr>
            <w:tcW w:type="dxa" w:w="311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P1B / проводимый материал</w:t>
            </w:r>
          </w:p>
        </w:tc>
        <w:tc>
          <w:tcPr>
            <w:tcW w:type="dxa" w:w="1247"/>
            <w:vAlign w:val="center"/>
            <w:shd w:fill="F3EBDD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6"/>
              </w:rPr>
              <w:t>Аудитория</w:t>
            </w:r>
          </w:p>
        </w:tc>
        <w:tc>
          <w:tcPr>
            <w:tcW w:type="dxa" w:w="357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средний бизнес; собственник и управленческая команда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26"/>
      </w:tblGrid>
      <w:tr>
        <w:trPr>
          <w:cantSplit/>
        </w:trPr>
        <w:tc>
          <w:tcPr>
            <w:tcW w:type="dxa" w:w="9298"/>
            <w:shd w:fill="F3EBDD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Назначение. Рабочая книга удерживает переговорную силу во времени через регулярные разборы, показатели и следующий цикл.</w:t>
            </w:r>
          </w:p>
        </w:tc>
      </w:tr>
    </w:tbl>
    <w:p>
      <w:pPr>
        <w:spacing w:before="280" w:after="120"/>
      </w:pPr>
      <w:r>
        <w:rPr>
          <w:rFonts w:ascii="Arial" w:hAnsi="Arial" w:eastAsia="Arial"/>
          <w:b/>
          <w:color w:val="0B2235"/>
          <w:sz w:val="32"/>
        </w:rPr>
        <w:t>1. Ядро и граница</w:t>
      </w:r>
    </w:p>
    <w:p>
      <w:pPr>
        <w:spacing w:after="120"/>
      </w:pPr>
      <w:r>
        <w:rPr>
          <w:rFonts w:ascii="Arial" w:hAnsi="Arial" w:eastAsia="Arial"/>
          <w:color w:val="1F2937"/>
          <w:sz w:val="19"/>
        </w:rPr>
        <w:t>Архитектура Переговоров - технология управления переговорной силой компании во внешних и внутренних решениях через сборку ситуации, цели, минимума, альтернативы, зоны соглашения, карты влияния, уступок, рисков, сценария и разбора результата.</w:t>
      </w:r>
    </w:p>
    <w:p>
      <w:pPr>
        <w:spacing w:after="120"/>
      </w:pPr>
      <w:r>
        <w:rPr>
          <w:rFonts w:ascii="Arial" w:hAnsi="Arial" w:eastAsia="Arial"/>
          <w:color w:val="1F2937"/>
          <w:sz w:val="19"/>
        </w:rPr>
        <w:t>Каноническая цепочка: ситуация -&gt; цена ошибки -&gt; цель / минимум -&gt; профиль стороны -&gt; карта влияния -&gt; BATNA / лучшая альтернатива -&gt; ZOPA / зона соглашения -&gt; уступки / встречные шаги -&gt; когнитивные риски -&gt; сценарий -&gt; фиксация -&gt; разбор -&gt; следующий цикл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cantSplit/>
          <w:tblHeader/>
        </w:trPr>
        <w:tc>
          <w:tcPr>
            <w:tcW w:type="dxa" w:w="260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Не является</w:t>
            </w:r>
          </w:p>
        </w:tc>
        <w:tc>
          <w:tcPr>
            <w:tcW w:type="dxa" w:w="6690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Граница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тренингом по переговорам</w:t>
            </w:r>
          </w:p>
        </w:tc>
        <w:tc>
          <w:tcPr>
            <w:tcW w:type="dxa" w:w="6690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работаем с реальной ситуацией, решением и следом в формах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набором таблиц</w:t>
            </w:r>
          </w:p>
        </w:tc>
        <w:tc>
          <w:tcPr>
            <w:tcW w:type="dxa" w:w="6690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форма открывается только когда есть управленческий разрыв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манипуляциями</w:t>
            </w:r>
          </w:p>
        </w:tc>
        <w:tc>
          <w:tcPr>
            <w:tcW w:type="dxa" w:w="6690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не проектируем скрытое давление и победу любой ценой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юридическим заключением</w:t>
            </w:r>
          </w:p>
        </w:tc>
        <w:tc>
          <w:tcPr>
            <w:tcW w:type="dxa" w:w="6690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правовые риски передаются профильным специалистам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финансовым аудитом</w:t>
            </w:r>
          </w:p>
        </w:tc>
        <w:tc>
          <w:tcPr>
            <w:tcW w:type="dxa" w:w="6690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расчеты показывают цену уступок, но не заменяют финансовую модель</w:t>
            </w:r>
          </w:p>
        </w:tc>
      </w:tr>
    </w:tbl>
    <w:p>
      <w:pPr>
        <w:spacing w:before="280" w:after="120"/>
      </w:pPr>
      <w:r>
        <w:rPr>
          <w:rFonts w:ascii="Arial" w:hAnsi="Arial" w:eastAsia="Arial"/>
          <w:b/>
          <w:color w:val="0B2235"/>
          <w:sz w:val="32"/>
        </w:rPr>
        <w:t>2. Маршрут продукта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cantSplit/>
          <w:tblHeader/>
        </w:trPr>
        <w:tc>
          <w:tcPr>
            <w:tcW w:type="dxa" w:w="56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Шаг</w:t>
            </w:r>
          </w:p>
        </w:tc>
        <w:tc>
          <w:tcPr>
            <w:tcW w:type="dxa" w:w="289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Что делаем</w:t>
            </w:r>
          </w:p>
        </w:tc>
        <w:tc>
          <w:tcPr>
            <w:tcW w:type="dxa" w:w="124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Форма</w:t>
            </w:r>
          </w:p>
        </w:tc>
        <w:tc>
          <w:tcPr>
            <w:tcW w:type="dxa" w:w="459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Выход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1</w:t>
            </w:r>
          </w:p>
        </w:tc>
        <w:tc>
          <w:tcPr>
            <w:tcW w:type="dxa" w:w="289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Регулярный выбор ситуаций</w:t>
            </w:r>
          </w:p>
        </w:tc>
        <w:tc>
          <w:tcPr>
            <w:tcW w:type="dxa" w:w="124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17</w:t>
            </w:r>
          </w:p>
        </w:tc>
        <w:tc>
          <w:tcPr>
            <w:tcW w:type="dxa" w:w="459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актуальный портфель переговорных решений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2</w:t>
            </w:r>
          </w:p>
        </w:tc>
        <w:tc>
          <w:tcPr>
            <w:tcW w:type="dxa" w:w="289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Проверка границ и альтернатив</w:t>
            </w:r>
          </w:p>
        </w:tc>
        <w:tc>
          <w:tcPr>
            <w:tcW w:type="dxa" w:w="124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18</w:t>
            </w:r>
          </w:p>
        </w:tc>
        <w:tc>
          <w:tcPr>
            <w:tcW w:type="dxa" w:w="459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обновленные цель, минимум, BATNA / лучшая альтернатива, ZOPA / зона соглашения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3</w:t>
            </w:r>
          </w:p>
        </w:tc>
        <w:tc>
          <w:tcPr>
            <w:tcW w:type="dxa" w:w="289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Контроль карты влияния</w:t>
            </w:r>
          </w:p>
        </w:tc>
        <w:tc>
          <w:tcPr>
            <w:tcW w:type="dxa" w:w="124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19, 20</w:t>
            </w:r>
          </w:p>
        </w:tc>
        <w:tc>
          <w:tcPr>
            <w:tcW w:type="dxa" w:w="459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изменения ролей, полномочий, сценариев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4</w:t>
            </w:r>
          </w:p>
        </w:tc>
        <w:tc>
          <w:tcPr>
            <w:tcW w:type="dxa" w:w="289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Контроль уступок и рисков</w:t>
            </w:r>
          </w:p>
        </w:tc>
        <w:tc>
          <w:tcPr>
            <w:tcW w:type="dxa" w:w="124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21, 22</w:t>
            </w:r>
          </w:p>
        </w:tc>
        <w:tc>
          <w:tcPr>
            <w:tcW w:type="dxa" w:w="459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цена уступок, риски решений, паузы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5</w:t>
            </w:r>
          </w:p>
        </w:tc>
        <w:tc>
          <w:tcPr>
            <w:tcW w:type="dxa" w:w="289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Регулярный отчет</w:t>
            </w:r>
          </w:p>
        </w:tc>
        <w:tc>
          <w:tcPr>
            <w:tcW w:type="dxa" w:w="124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23</w:t>
            </w:r>
          </w:p>
        </w:tc>
        <w:tc>
          <w:tcPr>
            <w:tcW w:type="dxa" w:w="459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показатели, уроки, решение завершить / продолжить / масштабировать</w:t>
            </w:r>
          </w:p>
        </w:tc>
      </w:tr>
    </w:tbl>
    <w:p>
      <w:pPr>
        <w:spacing w:before="280" w:after="120"/>
      </w:pPr>
      <w:r>
        <w:rPr>
          <w:rFonts w:ascii="Arial" w:hAnsi="Arial" w:eastAsia="Arial"/>
          <w:b/>
          <w:color w:val="0B2235"/>
          <w:sz w:val="32"/>
        </w:rPr>
        <w:t>3. Карта ситуации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cantSplit/>
          <w:tblHeader/>
        </w:trPr>
        <w:tc>
          <w:tcPr>
            <w:tcW w:type="dxa" w:w="226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Поле</w:t>
            </w:r>
          </w:p>
        </w:tc>
        <w:tc>
          <w:tcPr>
            <w:tcW w:type="dxa" w:w="5443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Что заполнить</w:t>
            </w:r>
          </w:p>
        </w:tc>
        <w:tc>
          <w:tcPr>
            <w:tcW w:type="dxa" w:w="158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Источник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Ситуация</w:t>
            </w:r>
          </w:p>
        </w:tc>
        <w:tc>
          <w:tcPr>
            <w:tcW w:type="dxa" w:w="5443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Одна фраза: что решается и почему сейчас.</w:t>
            </w:r>
          </w:p>
        </w:tc>
        <w:tc>
          <w:tcPr>
            <w:tcW w:type="dxa" w:w="158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форма 17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Внешний контур</w:t>
            </w:r>
          </w:p>
        </w:tc>
        <w:tc>
          <w:tcPr>
            <w:tcW w:type="dxa" w:w="5443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Клиент, поставщик, партнер, сеть, подрядчик или другой внешний участник.</w:t>
            </w:r>
          </w:p>
        </w:tc>
        <w:tc>
          <w:tcPr>
            <w:tcW w:type="dxa" w:w="158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17, 19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Внутренний контур</w:t>
            </w:r>
          </w:p>
        </w:tc>
        <w:tc>
          <w:tcPr>
            <w:tcW w:type="dxa" w:w="5443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Собственник, продажи, финансы, операции, закупки, юристы, проектная команда.</w:t>
            </w:r>
          </w:p>
        </w:tc>
        <w:tc>
          <w:tcPr>
            <w:tcW w:type="dxa" w:w="158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17, 19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Цена ошибки</w:t>
            </w:r>
          </w:p>
        </w:tc>
        <w:tc>
          <w:tcPr>
            <w:tcW w:type="dxa" w:w="5443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Деньги, срок, маржа, ресурс, ответственность, отношения, риск исполнения.</w:t>
            </w:r>
          </w:p>
        </w:tc>
        <w:tc>
          <w:tcPr>
            <w:tcW w:type="dxa" w:w="158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17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Недостающие данные</w:t>
            </w:r>
          </w:p>
        </w:tc>
        <w:tc>
          <w:tcPr>
            <w:tcW w:type="dxa" w:w="5443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Что нельзя утверждать без документов, расчета или интервью.</w:t>
            </w:r>
          </w:p>
        </w:tc>
        <w:tc>
          <w:tcPr>
            <w:tcW w:type="dxa" w:w="158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17, 22</w:t>
            </w:r>
          </w:p>
        </w:tc>
      </w:tr>
    </w:tbl>
    <w:p>
      <w:pPr>
        <w:spacing w:before="280" w:after="120"/>
      </w:pPr>
      <w:r>
        <w:rPr>
          <w:rFonts w:ascii="Arial" w:hAnsi="Arial" w:eastAsia="Arial"/>
          <w:b/>
          <w:color w:val="0B2235"/>
          <w:sz w:val="32"/>
        </w:rPr>
        <w:t>4. Цель, минимум и границы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cantSplit/>
          <w:tblHeader/>
        </w:trPr>
        <w:tc>
          <w:tcPr>
            <w:tcW w:type="dxa" w:w="226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Блок</w:t>
            </w:r>
          </w:p>
        </w:tc>
        <w:tc>
          <w:tcPr>
            <w:tcW w:type="dxa" w:w="3969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Вопрос</w:t>
            </w:r>
          </w:p>
        </w:tc>
        <w:tc>
          <w:tcPr>
            <w:tcW w:type="dxa" w:w="306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Ответ / поле заполнения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Цель</w:t>
            </w:r>
          </w:p>
        </w:tc>
        <w:tc>
          <w:tcPr>
            <w:tcW w:type="dxa" w:w="3969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Какой результат считаем хорошим?</w:t>
            </w:r>
          </w:p>
        </w:tc>
        <w:tc>
          <w:tcPr>
            <w:tcW w:type="dxa" w:w="306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Минимум</w:t>
            </w:r>
          </w:p>
        </w:tc>
        <w:tc>
          <w:tcPr>
            <w:tcW w:type="dxa" w:w="3969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Где начинается плохое решение?</w:t>
            </w:r>
          </w:p>
        </w:tc>
        <w:tc>
          <w:tcPr>
            <w:tcW w:type="dxa" w:w="306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BATNA / лучшая альтернатива</w:t>
            </w:r>
          </w:p>
        </w:tc>
        <w:tc>
          <w:tcPr>
            <w:tcW w:type="dxa" w:w="3969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Что делаем, если условия неприемлемы?</w:t>
            </w:r>
          </w:p>
        </w:tc>
        <w:tc>
          <w:tcPr>
            <w:tcW w:type="dxa" w:w="306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ZOPA / зона соглашения</w:t>
            </w:r>
          </w:p>
        </w:tc>
        <w:tc>
          <w:tcPr>
            <w:tcW w:type="dxa" w:w="3969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Какой диапазон условий допустим?</w:t>
            </w:r>
          </w:p>
        </w:tc>
        <w:tc>
          <w:tcPr>
            <w:tcW w:type="dxa" w:w="306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Стоп-условие</w:t>
            </w:r>
          </w:p>
        </w:tc>
        <w:tc>
          <w:tcPr>
            <w:tcW w:type="dxa" w:w="3969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Что требует паузы или отказа?</w:t>
            </w:r>
          </w:p>
        </w:tc>
        <w:tc>
          <w:tcPr>
            <w:tcW w:type="dxa" w:w="306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</w:tr>
    </w:tbl>
    <w:p>
      <w:pPr>
        <w:spacing w:before="280" w:after="120"/>
      </w:pPr>
      <w:r>
        <w:rPr>
          <w:rFonts w:ascii="Arial" w:hAnsi="Arial" w:eastAsia="Arial"/>
          <w:b/>
          <w:color w:val="0B2235"/>
          <w:sz w:val="32"/>
        </w:rPr>
        <w:t>5. Карта влияния, уступок и рисков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cantSplit/>
          <w:tblHeader/>
        </w:trPr>
        <w:tc>
          <w:tcPr>
            <w:tcW w:type="dxa" w:w="2494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Объект проверки</w:t>
            </w:r>
          </w:p>
        </w:tc>
        <w:tc>
          <w:tcPr>
            <w:tcW w:type="dxa" w:w="5216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Что должно быть видно</w:t>
            </w:r>
          </w:p>
        </w:tc>
        <w:tc>
          <w:tcPr>
            <w:tcW w:type="dxa" w:w="158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Форма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Стороны решения</w:t>
            </w:r>
          </w:p>
        </w:tc>
        <w:tc>
          <w:tcPr>
            <w:tcW w:type="dxa" w:w="5216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роли, интересы, ограничения, полномочия</w:t>
            </w:r>
          </w:p>
        </w:tc>
        <w:tc>
          <w:tcPr>
            <w:tcW w:type="dxa" w:w="158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19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Сценарий</w:t>
            </w:r>
          </w:p>
        </w:tc>
        <w:tc>
          <w:tcPr>
            <w:tcW w:type="dxa" w:w="5216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следующий шаг, роли команды, право на паузу</w:t>
            </w:r>
          </w:p>
        </w:tc>
        <w:tc>
          <w:tcPr>
            <w:tcW w:type="dxa" w:w="158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20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Уступки</w:t>
            </w:r>
          </w:p>
        </w:tc>
        <w:tc>
          <w:tcPr>
            <w:tcW w:type="dxa" w:w="5216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цена уступки, встречный шаг, порядок раскрытия</w:t>
            </w:r>
          </w:p>
        </w:tc>
        <w:tc>
          <w:tcPr>
            <w:tcW w:type="dxa" w:w="158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21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Риски решения</w:t>
            </w:r>
          </w:p>
        </w:tc>
        <w:tc>
          <w:tcPr>
            <w:tcW w:type="dxa" w:w="5216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якорь, страх потерь, групповое мышление, давление срока, инерция</w:t>
            </w:r>
          </w:p>
        </w:tc>
        <w:tc>
          <w:tcPr>
            <w:tcW w:type="dxa" w:w="158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22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Итог</w:t>
            </w:r>
          </w:p>
        </w:tc>
        <w:tc>
          <w:tcPr>
            <w:tcW w:type="dxa" w:w="5216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факт, план-факт, показатели, уроки, следующий цикл</w:t>
            </w:r>
          </w:p>
        </w:tc>
        <w:tc>
          <w:tcPr>
            <w:tcW w:type="dxa" w:w="158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23</w:t>
            </w:r>
          </w:p>
        </w:tc>
      </w:tr>
    </w:tbl>
    <w:p>
      <w:pPr>
        <w:spacing w:before="280" w:after="120"/>
      </w:pPr>
      <w:r>
        <w:rPr>
          <w:rFonts w:ascii="Arial" w:hAnsi="Arial" w:eastAsia="Arial"/>
          <w:b/>
          <w:color w:val="0B2235"/>
          <w:sz w:val="32"/>
        </w:rPr>
        <w:t>6. Gate / решение о следующем шаге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cantSplit/>
          <w:tblHeader/>
        </w:trPr>
        <w:tc>
          <w:tcPr>
            <w:tcW w:type="dxa" w:w="226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Вердикт</w:t>
            </w:r>
          </w:p>
        </w:tc>
        <w:tc>
          <w:tcPr>
            <w:tcW w:type="dxa" w:w="4536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Когда ставится</w:t>
            </w:r>
          </w:p>
        </w:tc>
        <w:tc>
          <w:tcPr>
            <w:tcW w:type="dxa" w:w="2494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Следующее действие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продолжать</w:t>
            </w:r>
          </w:p>
        </w:tc>
        <w:tc>
          <w:tcPr>
            <w:tcW w:type="dxa" w:w="4536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есть владелец решения, данные, реальные ситуации и дисциплина формы</w:t>
            </w:r>
          </w:p>
        </w:tc>
        <w:tc>
          <w:tcPr>
            <w:tcW w:type="dxa" w:w="2494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перейти к следующему продукту или циклу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продолжать при условиях</w:t>
            </w:r>
          </w:p>
        </w:tc>
        <w:tc>
          <w:tcPr>
            <w:tcW w:type="dxa" w:w="4536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часть контура готова, но есть ограничения</w:t>
            </w:r>
          </w:p>
        </w:tc>
        <w:tc>
          <w:tcPr>
            <w:tcW w:type="dxa" w:w="2494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зафиксировать условия и владельцев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уточнить данные</w:t>
            </w:r>
          </w:p>
        </w:tc>
        <w:tc>
          <w:tcPr>
            <w:tcW w:type="dxa" w:w="4536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не хватает фактов для решения</w:t>
            </w:r>
          </w:p>
        </w:tc>
        <w:tc>
          <w:tcPr>
            <w:tcW w:type="dxa" w:w="2494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вернуться к нужной форме 17-23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взять паузу</w:t>
            </w:r>
          </w:p>
        </w:tc>
        <w:tc>
          <w:tcPr>
            <w:tcW w:type="dxa" w:w="4536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риск плохого решения выше пользы движения</w:t>
            </w:r>
          </w:p>
        </w:tc>
        <w:tc>
          <w:tcPr>
            <w:tcW w:type="dxa" w:w="2494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запросить проверку или Решение Руководителя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завершить</w:t>
            </w:r>
          </w:p>
        </w:tc>
        <w:tc>
          <w:tcPr>
            <w:tcW w:type="dxa" w:w="4536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объект работы закрыт или сопровождение не требуется</w:t>
            </w:r>
          </w:p>
        </w:tc>
        <w:tc>
          <w:tcPr>
            <w:tcW w:type="dxa" w:w="2494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зафиксировать итог и уроки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79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/>
        <w:color w:val="596B82"/>
        <w:sz w:val="17"/>
      </w:rPr>
      <w:t>Рабочая документация технологии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/>
        <w:color w:val="596B82"/>
        <w:sz w:val="17"/>
      </w:rPr>
      <w:t>C-Level Insight / Архитектура Переговоров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