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283" w:lineRule="auto"/>
      </w:pPr>
      <w:r>
        <w:rPr>
          <w:rFonts w:ascii="Calibri" w:hAnsi="Calibri" w:eastAsia="Calibri"/>
          <w:b/>
          <w:color w:val="B46A3C"/>
          <w:sz w:val="17"/>
        </w:rPr>
        <w:t>C-Level Insight</w:t>
      </w:r>
    </w:p>
    <w:p>
      <w:pPr>
        <w:spacing w:after="80" w:before="0" w:line="283" w:lineRule="auto"/>
      </w:pPr>
      <w:r>
        <w:rPr>
          <w:rFonts w:ascii="Calibri" w:hAnsi="Calibri" w:eastAsia="Calibri"/>
          <w:b/>
          <w:color w:val="0B1F33"/>
          <w:sz w:val="36"/>
        </w:rPr>
        <w:t>Повторяемый_Спрос - содержание папки: 10 Первоисточники</w:t>
      </w:r>
    </w:p>
    <w:p>
      <w:pPr>
        <w:spacing w:after="180" w:before="0" w:line="283" w:lineRule="auto"/>
      </w:pPr>
      <w:r>
        <w:rPr>
          <w:rFonts w:ascii="Calibri" w:hAnsi="Calibri" w:eastAsia="Calibri"/>
          <w:b w:val="0"/>
          <w:color w:val="475569"/>
          <w:sz w:val="20"/>
        </w:rPr>
        <w:t>Папка первоисточников: книга и рабочая тетрадь, на основе которых создана технология Повторяемый спрос.</w:t>
      </w:r>
    </w:p>
    <w:tbl>
      <w:tblPr>
        <w:tblW w:type="dxa" w:w="1300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4500"/>
        <w:gridCol w:w="8500"/>
      </w:tblGrid>
      <w:tr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3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Наименование</w:t>
            </w:r>
          </w:p>
        </w:tc>
        <w:tc>
          <w:tcPr>
            <w:tcW w:type="dxa" w:w="8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3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Краткое описание</w:t>
            </w:r>
          </w:p>
        </w:tc>
      </w:tr>
      <w:tr>
        <w:tc>
          <w:tcPr>
            <w:tcW w:type="dxa" w:w="4500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Повторяемый_Спрос_Первоисточник_007_1_Рабочая_Тетрадь_Племенной_Маркетинг.docx</w:t>
            </w:r>
          </w:p>
        </w:tc>
        <w:tc>
          <w:tcPr>
            <w:tcW w:type="dxa" w:w="8500"/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Рабочая тетрадь первоисточника: практические задания, вопросы и формы, использованные при создании технологии.</w:t>
            </w:r>
          </w:p>
        </w:tc>
      </w:tr>
      <w:tr>
        <w:tc>
          <w:tcPr>
            <w:tcW w:type="dxa" w:w="4500"/>
            <w:shd w:fill="FAF7F1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Повторяемый_Спрос_Первоисточник_007_Книга_Племенной_Маркетинг.docx</w:t>
            </w:r>
          </w:p>
        </w:tc>
        <w:tc>
          <w:tcPr>
            <w:tcW w:type="dxa" w:w="8500"/>
            <w:shd w:fill="FAF7F1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Книга-первоисточник: базовая авторская концепция, из которой создана технология Повторяемый спрос.</w:t>
            </w:r>
          </w:p>
        </w:tc>
      </w:tr>
    </w:tbl>
    <w:sectPr w:rsidR="00FC693F" w:rsidRPr="0006063C" w:rsidSect="00034616">
      <w:headerReference w:type="default" r:id="rId9"/>
      <w:pgSz w:w="15840" w:h="12240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6"/>
      </w:rPr>
      <w:t>Валерий Бирюков / C-Level Insight | Повторяемый спрос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