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B46A3C"/>
          <w:sz w:val="17"/>
        </w:rPr>
        <w:t>C-Level Insight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4"/>
        </w:rPr>
        <w:t>Повторяемый спрос</w:t>
      </w:r>
    </w:p>
    <w:p>
      <w:pPr>
        <w:spacing w:after="200"/>
      </w:pPr>
      <w:r>
        <w:rPr>
          <w:rFonts w:ascii="Calibri" w:hAnsi="Calibri" w:eastAsia="Calibri"/>
          <w:b/>
          <w:i w:val="0"/>
          <w:color w:val="0F766E"/>
          <w:sz w:val="22"/>
        </w:rPr>
        <w:t>Шаблон коммерческого предложения v2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9000"/>
      </w:tblGrid>
      <w:tr>
        <w:tc>
          <w:tcPr>
            <w:tcW w:type="dxa" w:w="900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3EBDD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B46A3C"/>
                <w:sz w:val="19"/>
              </w:rPr>
              <w:t xml:space="preserve">Назначение: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Шаблон помогает собрать КП после первого разговора, не отдавая клиенту методологию бесплатно и не обещая финансовый результат до Диагностики.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1. Структура КП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500"/>
        <w:gridCol w:w="6500"/>
      </w:tblGrid>
      <w:tr>
        <w:tc>
          <w:tcPr>
            <w:tcW w:type="dxa" w:w="25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Раздел</w:t>
            </w:r>
          </w:p>
        </w:tc>
        <w:tc>
          <w:tcPr>
            <w:tcW w:type="dxa" w:w="65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Содержание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Контекст клиента</w:t>
            </w:r>
          </w:p>
        </w:tc>
        <w:tc>
          <w:tcPr>
            <w:tcW w:type="dxa" w:w="6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[категория, бренд, текущая проблема спроса]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Управленческая проблема</w:t>
            </w:r>
          </w:p>
        </w:tc>
        <w:tc>
          <w:tcPr>
            <w:tcW w:type="dxa" w:w="6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Компания покупает спрос заново через промо, рекламу, скидку, контент или канал, но не управляет повторяемым поведением.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Что предлагаем</w:t>
            </w:r>
          </w:p>
        </w:tc>
        <w:tc>
          <w:tcPr>
            <w:tcW w:type="dxa" w:w="6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Диагностику применимости Повторяемого спроса как первый платный этап.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Что проверяем</w:t>
            </w:r>
          </w:p>
        </w:tc>
        <w:tc>
          <w:tcPr>
            <w:tcW w:type="dxa" w:w="6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мотив, сцену, ритуал, сигнал, повторяемость, данные, финансовый смысл и операционную готовность.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Что получит клиент</w:t>
            </w:r>
          </w:p>
        </w:tc>
        <w:tc>
          <w:tcPr>
            <w:tcW w:type="dxa" w:w="6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Итоговый диагностический отчет, evidence map, карту доказательств, gate-решение и рекомендацию следующего шага.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Возможные вердикты</w:t>
            </w:r>
          </w:p>
        </w:tc>
        <w:tc>
          <w:tcPr>
            <w:tcW w:type="dxa" w:w="6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Go, запускать; Conditional, запускать при условиях; Stop, остановить.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Что не входит</w:t>
            </w:r>
          </w:p>
        </w:tc>
        <w:tc>
          <w:tcPr>
            <w:tcW w:type="dxa" w:w="6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Бесплатная стратегия, выбор мотива-ядра, Спринт, внедрение, Сопровождение, гарантии финансового результата.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Следующий этап</w:t>
            </w:r>
          </w:p>
        </w:tc>
        <w:tc>
          <w:tcPr>
            <w:tcW w:type="dxa" w:w="6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Сессия продается только после Диагностики и gate-решения.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2. Безопасный текст КП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9000"/>
      </w:tblGrid>
      <w:tr>
        <w:tc>
          <w:tcPr>
            <w:tcW w:type="dxa" w:w="900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AF7F1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19"/>
              </w:rPr>
              <w:t xml:space="preserve">Формулировка: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Мы предлагаем начать с Диагностики, потому что без проверки мотива, сцены, ритуала, сигнала, данных и финансовой логики нельзя честно обещать, что технология применима к вашей категории и бренду.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3. Коммерческие стоп-линии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включать в КП гарантии роста продаж, маржи, LTV, пожизненной ценности клиента, или снижения CAC, стоимости привлечения клиента.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продавать Сессию, Спринт или Сопровождение как автоматическое продолжение без gate-результата.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писать, что Диагностика является бесплатным пресейлом.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раскрывать весь комплект v2 как приложение к КП.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5"/>
      </w:rPr>
      <w:t>P3 | коммерческое предложение | шаблон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C-Level Insight | Повторяемый спрос | КП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