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коммерческий комплект v2</w:t>
      </w:r>
    </w:p>
    <w:p>
      <w:r>
        <w:rPr>
          <w:rFonts w:ascii="Arial" w:hAnsi="Arial"/>
          <w:b w:val="0"/>
          <w:color w:val="111827"/>
          <w:sz w:val="22"/>
        </w:rPr>
        <w:t>Рабочий коммерческий пакет: структура предложения, логика презентации, возражения, pricing logic, логика цены, без числовых расценок.</w:t>
      </w:r>
    </w:p>
    <w:p>
      <w:pPr>
        <w:pStyle w:val="Heading1"/>
      </w:pPr>
      <w:r>
        <w:t>1. Что входит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Материал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One-page offer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Первый короткий вход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Sales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Коммерческая презентация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Показать проблему, метод, продукты, кейсы и следующий шаг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Sales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Proposal template, шаблон предложения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Собрать индивидуальное предложение после диагностики разговора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Sales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Pricing logic, логика цены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Показать, из чего складывается цена без публикации расценок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Internal/Sales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Вопросы и ответы и objections handling, работа с возражениями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Отвечать на вопросы клиента и закупки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Sales</w:t>
            </w:r>
          </w:p>
        </w:tc>
      </w:tr>
    </w:tbl>
    <w:p/>
    <w:p>
      <w:pPr>
        <w:pStyle w:val="Heading1"/>
      </w:pPr>
      <w:r>
        <w:t>2. Структура коммерческой презентации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Слайд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1. Название и обещание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Повторяемый спрос как технология управления устойчивым высокомаржинальным спросом.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2. Боль рынка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Промо, медиа и контент покупают внимание, но не создают повторяемое поведение.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3. Главная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4. Когда технология нужна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Повтор, LTV, промо-зависимость, churn, отток, слабая подписка.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5. Когда технология не нужна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 категории и стоп-факторы.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6. Продуктовая цепочка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7. Кейсы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3-5 релевантных кейсов из каталога.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8. Следующий шаг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Диагностика применимости Повторяемого спроса, диагностика применимости.</w:t>
            </w:r>
          </w:p>
        </w:tc>
      </w:tr>
    </w:tbl>
    <w:p/>
    <w:p>
      <w:pPr>
        <w:pStyle w:val="Heading1"/>
      </w:pPr>
      <w:r>
        <w:t>3. Pricing logic, логика цены без расценок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Фактор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Как влияет на цену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Масштаб категории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Чем больше каналов, SKU и регионов, тем выше объем анализа.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Доступность данных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Если данные плохие, растет аналитический объем диагностики.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Количество команд клиента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Маркетинг, продукт, CRM, коммерция и операции требуют большего числа сессий.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Глубина Спринт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Чем больше носителей: продукт, упаковка, CRM, контент, розница, тем выше трудоемкость.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Сопровождение-ритм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Цена зависит от частоты review, длительности сопровождения и числа направлений.</w:t>
            </w:r>
          </w:p>
        </w:tc>
      </w:tr>
    </w:tbl>
    <w:p/>
    <w:p>
      <w:pPr>
        <w:pStyle w:val="Heading1"/>
      </w:pPr>
      <w:r>
        <w:t>4. Возражения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Возражение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Это похоже на бренд-стратегию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Бренд-стратегия часто заканчивается смыслом и коммуникацией; здесь результат должен дойти до ритуала, продукта, CRM, метрик и операционной модели.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Нам нужно просто 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Сообщество без мотива и ритуала станет активностью. Сначала проверяем применимость и повторяемое поведение.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Мы уже делаем CRM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CRM, система управления клиентскими отношениями, может рассылать акции, но не обязательно поддерживает ритуал и LTV.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Давайте сразу Спринт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Без диагностики и выбора ядра Спринт рискует стать дорогой пересборкой креатива.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Сколько стоит?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Числовые цены фиксируются в отдельном коммерческом файле. Здесь обсуждается логика объема, риска и результата.</w:t>
            </w:r>
          </w:p>
        </w:tc>
      </w:tr>
    </w:tbl>
    <w:p/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