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Конкурентный ландшафт для технологии "Повторяемый спрос"</w:t>
      </w:r>
    </w:p>
    <w:p>
      <w:r>
        <w:t>Версия: v1.0</w:t>
      </w:r>
    </w:p>
    <w:p>
      <w:r>
        <w:t>Статус: рабочее сравнение для коммерческой упаковки.</w:t>
      </w:r>
    </w:p>
    <w:p>
      <w:r>
        <w:t>Дата: 2026-06-18.</w:t>
      </w:r>
    </w:p>
    <w:p>
      <w:pPr>
        <w:pStyle w:val="Heading2"/>
      </w:pPr>
      <w:r>
        <w:t>1. Executive verdict, управленческий вердикт</w:t>
      </w:r>
    </w:p>
    <w:p>
      <w:r>
        <w:t>"Повторяемый спрос" не должен конкурировать напрямую с бизнес-школами, классическим стратегическим консалтингом, бренд-агентствами, исследовательскими компаниями или SMM, продвижением в социальных сетях.</w:t>
      </w:r>
    </w:p>
    <w:p>
      <w:r>
        <w:t>Правильная конкурентная позиция:</w:t>
      </w:r>
    </w:p>
    <w:p>
      <w:r>
        <w:t>между бренд-стратегией, коммерческой системой, consumer insight, потребительскими инсайтами, и операционной моделью роста</w:t>
      </w:r>
    </w:p>
    <w:p>
      <w:r>
        <w:t>Свободное окно:</w:t>
      </w:r>
    </w:p>
    <w:p>
      <w:r>
        <w:t>авторская технология управления повторяемым спросом для зрелых потребительских категорий</w:t>
      </w:r>
    </w:p>
    <w:p>
      <w:pPr>
        <w:pStyle w:val="Heading2"/>
      </w:pPr>
      <w:r>
        <w:t>2. Источники для внешнего сравнения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использовано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СберУниверситет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масштаб образовательного портфеля, программы для топ-менеджмента, корпоративный формат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Русская школа управления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широкий каталог курсов: управление, маркетинг, продажи, MBA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Институт Тренинга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корпоративные тренинги, развитие руководителей, изменения, фасилитация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Kantar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brand growth, рост бренда, research, исследования, brand strategy, стратегия бренда, customer experience, клиентский опыт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Accenture Song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customer relevance and growth, клиентская релевантность и рост; дизайн, маркетинг, продажи, коммерция, сервис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СКОЛКОВО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business education, бизнес-образование, executive education, обучение руководителей</w:t>
            </w:r>
          </w:p>
        </w:tc>
      </w:tr>
    </w:tbl>
    <w:p>
      <w:pPr>
        <w:pStyle w:val="Heading2"/>
      </w:pPr>
      <w:r>
        <w:t>3. Карта конкурентных групп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продают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сила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ограничение относительно повторяемого спроса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Бизнес-школы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обучение, программы, executive education, обучение руководителей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статус, среда, преподаватели, масштаб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не отвечают за внедрение спросовой системы в конкретной категории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Корпоративные университеты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обучение и развитие компетенций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масштаб, корпоративные клиенты, системность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чаще развивают людей, а не пересобирают мотив, SKU, упаковку и спрос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Тренинговые провайдеры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навыки, изменения, фасилитация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работа с поведением людей внутри компании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редко связывают потребительские ритуалы с CAC, LTV, ROMI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Бренд-агентства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позиционирование, платформа, визуальная система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креатив, айдентика, упаковка, коммуникация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часто заканчивают на смысле и образе, а не на операционной модели спроса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Исследовательские компании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данные, инсайты, панели, brand tracking, отслеживание бренда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методология, данные, измеримость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дают понимание, но не всегда строят управляемую архитектуру повторяемого спроса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Growth / performance, рост и результативный маркетинг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трафик, воронки, конверсия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быстрые метрики, каналы, digital, цифровые продажи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покупают спрос, но не всегда создают повторяемость и органику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Community / SMM, сообщество и социальные сети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контент, комьюнити, UGC, пользовательский контент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контакт с аудиторией, вовлечение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часто не имеют мотива, сцен, ритуалов, SKU и финансовой модели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Классический стратегический консалтинг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стратегия, трансформация, операционная модель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уровень C-level, первого круга управления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может быть сильным в компании, но слабее в логике Повторяемого спроса потребительского поведения</w:t>
            </w:r>
          </w:p>
        </w:tc>
      </w:tr>
    </w:tbl>
    <w:p>
      <w:pPr>
        <w:pStyle w:val="Heading2"/>
      </w:pPr>
      <w:r>
        <w:t>4. Сравнение с ключевыми типами игроков</w:t>
      </w:r>
    </w:p>
    <w:p>
      <w:pPr>
        <w:pStyle w:val="Heading3"/>
      </w:pPr>
      <w:r>
        <w:t>4.1. Бизнес-школы и executive education, обучение руководителей</w:t>
      </w:r>
    </w:p>
    <w:p>
      <w:r>
        <w:t>Примеры: СКОЛКОВО, СберУниверситет, Русская школа управления.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центр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обучение руководителей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внедрение технологии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программы и модули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архитектура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развитие компетенций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изменение поведения потребителя и компании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широкий каталог тем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узкая авторская технология для зрелых категорий</w:t>
            </w:r>
          </w:p>
        </w:tc>
      </w:tr>
    </w:tbl>
    <w:p>
      <w:r>
        <w:t>Вывод:</w:t>
      </w:r>
    </w:p>
    <w:p>
      <w:r>
        <w:t>Не конкурировать как школа. Позиционироваться как авторский consulting, консалтинг, и advisory, регулярное экспертное сопровождение, для конкретной управленческой задачи.</w:t>
      </w:r>
    </w:p>
    <w:p>
      <w:pPr>
        <w:pStyle w:val="Heading3"/>
      </w:pPr>
      <w:r>
        <w:t>4.2. Бренд- и креативные агентства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центр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бренд-платформа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поведения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айдентика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сигнальная система, связанная с мотивом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 и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коммуникация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продукт, SKU, упаковка, UGC, финансы</w:t>
            </w:r>
          </w:p>
        </w:tc>
      </w:tr>
    </w:tbl>
    <w:p>
      <w:r>
        <w:t>Вывод:</w:t>
      </w:r>
    </w:p>
    <w:p>
      <w:r>
        <w:t>Бренд-агентство может быть подрядчиком на этапе упаковки и креатива, но не владельцем технологии.</w:t>
      </w:r>
    </w:p>
    <w:p>
      <w:pPr>
        <w:pStyle w:val="Heading3"/>
      </w:pPr>
      <w:r>
        <w:t>4.3. Исследовательские компании</w:t>
      </w:r>
    </w:p>
    <w:p>
      <w:r>
        <w:t>Пример: Kantar публично позиционирует себя вокруг intelligence for brand growth, аналитики для роста бренда, решений brand guidance, brand strategy, customer experience.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центр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данные и исследования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авторская модель применения данных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brand tracking, отслеживание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повторяемого спроса разрыва, анализ разрывов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consumer understanding, понимание потребителя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-&gt; сцена -&gt; ритуал -&gt; повторение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отчеты и решения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12-месячная дорожная карта внедрения</w:t>
            </w:r>
          </w:p>
        </w:tc>
      </w:tr>
    </w:tbl>
    <w:p>
      <w:r>
        <w:t>Вывод:</w:t>
      </w:r>
    </w:p>
    <w:p>
      <w:r>
        <w:t>Исследовательские компании можно использовать как data-layer, слой данных. Но ядро нашей технологии - не исследование, а управляемая система спроса.</w:t>
      </w:r>
    </w:p>
    <w:p>
      <w:pPr>
        <w:pStyle w:val="Heading3"/>
      </w:pPr>
      <w:r>
        <w:t>4.4. Accenture Song и крупные experience / growth игроки</w:t>
      </w:r>
    </w:p>
    <w:p>
      <w:r>
        <w:t>Accenture Song описывает себя как tech-powered creative group, технологически усиленную креативную группу, и partner, партнера, для customer relevance and growth, клиентской релевантности и роста.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центр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масштаб, технологии, дизайн, маркетинг, продажи, сервис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авторская узкая технология мотивов, сцен и ритуалов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end-to-end capabilities, полный контур возможностей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boutique-диагностика и точность для конкретной категории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креатив + технология + коммерция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+ поведение + SKU + упаковка + финансы</w:t>
            </w:r>
          </w:p>
        </w:tc>
      </w:tr>
    </w:tbl>
    <w:p>
      <w:r>
        <w:t>Вывод:</w:t>
      </w:r>
    </w:p>
    <w:p>
      <w:r>
        <w:t>С крупными игроками не конкурировать масштабом. Конкурировать точностью, авторским IP, интеллектуальной собственностью, и фокусом на зрелых потребительских категориях.</w:t>
      </w:r>
    </w:p>
    <w:p>
      <w:pPr>
        <w:pStyle w:val="Heading3"/>
      </w:pPr>
      <w:r>
        <w:t>4.5. SMM / community, социальные сети и сообщества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Их центр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вовлечение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повторяемое поведение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подписчики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социальная структура сообщества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UGC как следствие сцены и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модерация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нормы, роли, амбассадоры, горизонтальные связи</w:t>
            </w:r>
          </w:p>
        </w:tc>
      </w:tr>
    </w:tbl>
    <w:p>
      <w:r>
        <w:t>Вывод:</w:t>
      </w:r>
    </w:p>
    <w:p>
      <w:r>
        <w:t>SMM и community management, управление сообществом, - инструменты. Стратегия Повторяемого спроса должна предшествовать им.</w:t>
      </w:r>
    </w:p>
    <w:p>
      <w:pPr>
        <w:pStyle w:val="Heading2"/>
      </w:pPr>
      <w:r>
        <w:t>5. Дифференцирующая формула</w:t>
      </w:r>
    </w:p>
    <w:p>
      <w:r>
        <w:t>Коротко:</w:t>
      </w:r>
    </w:p>
    <w:p>
      <w:r>
        <w:t>Конкуренты помогают учиться, исследовать, брендировать, рекламировать или вовлекать. Мы строим систему повторяемого спроса.</w:t>
      </w:r>
    </w:p>
    <w:p>
      <w:r>
        <w:t>Для C-level, первого круга управления:</w:t>
      </w:r>
    </w:p>
    <w:p>
      <w:r>
        <w:t>Повторяемый спрос связывает потребительский мотив, продуктовую систему, упаковку, сцены, ритуалы, UGC, пользовательский контент, и финансовые метрики в один управляемый контур роста.</w:t>
      </w:r>
    </w:p>
    <w:p>
      <w:pPr>
        <w:pStyle w:val="Heading2"/>
      </w:pPr>
      <w:r>
        <w:t>6. Где мы сильнее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это преимущество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Русскоязычная авторская методология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рынок почти не имеет управленчески оформленного языка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Связь с FMCG / DIY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метод сразу привязан к SKU, упаковке, сезонности, каналам и повторяемости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продаем метод тем, кому он не нужен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переводим мотивы в CAC, LTV, ROMI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назначаем владельцев мотива, сцен, ритуалов, сигналов, UGC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12-месячная дорожная карта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заканчиваем презентацией</w:t>
            </w:r>
          </w:p>
        </w:tc>
      </w:tr>
    </w:tbl>
    <w:p>
      <w:pPr>
        <w:pStyle w:val="Heading2"/>
      </w:pPr>
      <w:r>
        <w:t>7. Где нужны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рынок может услышать "сообщество потребления" как SMM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постоянно объяснять: это не социальные сети, а система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слово "Повторяемого спроса" может звучать непривычно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рядом давать управленческое пояснение: архитектура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C-level может не хотеть маркетинговый проект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входить через деньги: CAC, LTV, ROMI, промо-зависимость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бренд-агентства могут копировать язык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защищаться через глубину метода, шаблоны, диагностику, операционную модель</w:t>
            </w:r>
          </w:p>
        </w:tc>
      </w:tr>
    </w:tbl>
    <w:p>
      <w:pPr>
        <w:pStyle w:val="Heading2"/>
      </w:pPr>
      <w:r>
        <w:t>8. Рекомендованное позиционирование против конкурентов</w:t>
      </w:r>
    </w:p>
    <w:p>
      <w:r>
        <w:t>Не говорить:</w:t>
      </w:r>
    </w:p>
    <w:p>
      <w:r>
        <w:t>мы лучше бизнес-школы / агентства / исследователей</w:t>
      </w:r>
    </w:p>
    <w:p>
      <w:r>
        <w:t>Говорить:</w:t>
      </w:r>
    </w:p>
    <w:p>
      <w:r>
        <w:t>они решают другие задачи. Мы закрываем разрыв между потребительским мотивом, продуктовой системой и управляемой экономикой спроса.</w:t>
      </w:r>
    </w:p>
    <w:p>
      <w:pPr>
        <w:pStyle w:val="Heading2"/>
      </w:pPr>
      <w:r>
        <w:t>9. Следующий шаг</w:t>
      </w:r>
    </w:p>
    <w:p>
      <w:r>
        <w:t>Создать коммерческую линейку продуктов:</w:t>
      </w:r>
    </w:p>
    <w:p>
      <w:pPr>
        <w:pStyle w:val="ListBullet"/>
      </w:pPr>
      <w:r>
        <w:t>входная диагностика;</w:t>
      </w:r>
    </w:p>
    <w:p>
      <w:pPr>
        <w:pStyle w:val="ListBullet"/>
      </w:pPr>
      <w:r>
        <w:t>стратегическая сессия;</w:t>
      </w:r>
    </w:p>
    <w:p>
      <w:pPr>
        <w:pStyle w:val="ListBullet"/>
      </w:pPr>
      <w:r>
        <w:t>90-дневный спринт;</w:t>
      </w:r>
    </w:p>
    <w:p>
      <w:pPr>
        <w:pStyle w:val="ListBullet"/>
      </w:pPr>
      <w:r>
        <w:t>12-месячное сопровождение;</w:t>
      </w:r>
    </w:p>
    <w:p>
      <w:pPr>
        <w:pStyle w:val="ListBullet"/>
      </w:pPr>
      <w:r>
        <w:t>отраслевые пакеты для FMCG, DIY, e-commerce, retail.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