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 w:eastAsia="Calibri"/>
          <w:b/>
          <w:i w:val="0"/>
          <w:color w:val="B46A3C"/>
          <w:sz w:val="17"/>
        </w:rPr>
        <w:t>C-Level Insight</w:t>
      </w:r>
    </w:p>
    <w:p>
      <w:pPr>
        <w:spacing w:after="80"/>
      </w:pPr>
      <w:r>
        <w:rPr>
          <w:rFonts w:ascii="Calibri" w:hAnsi="Calibri" w:eastAsia="Calibri"/>
          <w:b/>
          <w:i w:val="0"/>
          <w:color w:val="0B1F33"/>
          <w:sz w:val="44"/>
        </w:rPr>
        <w:t>Повторяемый спрос</w:t>
      </w:r>
    </w:p>
    <w:p>
      <w:pPr>
        <w:spacing w:after="200"/>
      </w:pPr>
      <w:r>
        <w:rPr>
          <w:rFonts w:ascii="Calibri" w:hAnsi="Calibri" w:eastAsia="Calibri"/>
          <w:b/>
          <w:i w:val="0"/>
          <w:color w:val="0F766E"/>
          <w:sz w:val="22"/>
        </w:rPr>
        <w:t>Первый клиентский экран v2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80" w:type="dxa"/>
        <w:tblBorders>
          <w:top w:val="single" w:sz="4" w:space="0" w:color="D8CFC3"/>
          <w:left w:val="single" w:sz="4" w:space="0" w:color="D8CFC3"/>
          <w:bottom w:val="single" w:sz="4" w:space="0" w:color="D8CFC3"/>
          <w:right w:val="single" w:sz="4" w:space="0" w:color="D8CFC3"/>
          <w:insideH w:val="single" w:sz="4" w:space="0" w:color="D8CFC3"/>
          <w:insideV w:val="single" w:sz="4" w:space="0" w:color="D8CFC3"/>
        </w:tblBorders>
      </w:tblPr>
      <w:tblGrid>
        <w:gridCol w:w="9000"/>
      </w:tblGrid>
      <w:tr>
        <w:tc>
          <w:tcPr>
            <w:tcW w:type="dxa" w:w="9000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3EBDD"/>
          </w:tcPr>
          <w:p>
            <w:pPr>
              <w:spacing w:line="269" w:lineRule="auto"/>
            </w:pPr>
            <w:r/>
            <w:r>
              <w:rPr>
                <w:rFonts w:ascii="Calibri" w:hAnsi="Calibri" w:eastAsia="Calibri"/>
                <w:b/>
                <w:i w:val="0"/>
                <w:color w:val="B46A3C"/>
                <w:sz w:val="19"/>
              </w:rPr>
              <w:t xml:space="preserve">Главная формула: </w:t>
            </w:r>
            <w:r>
              <w:rPr>
                <w:rFonts w:ascii="Calibri" w:hAnsi="Calibri" w:eastAsia="Calibri"/>
                <w:b w:val="0"/>
                <w:i w:val="0"/>
                <w:color w:val="111827"/>
                <w:sz w:val="18"/>
              </w:rPr>
              <w:t>Повторяемый спрос помогает бренду понять, почему покупатель должен возвращаться без скидки: какой мотив он занимает, в какой сцене живет, какой ритуал повторяет и как это отражается в LTV, пожизненной ценности клиента, CAC, стоимости привлечения клиента, марже и операционной модели.</w:t>
            </w:r>
          </w:p>
        </w:tc>
      </w:tr>
    </w:tbl>
    <w:p>
      <w:pPr>
        <w:keepNext/>
        <w:spacing w:before="260" w:after="100"/>
      </w:pPr>
      <w:r>
        <w:rPr>
          <w:rFonts w:ascii="Calibri" w:hAnsi="Calibri" w:eastAsia="Calibri"/>
          <w:b/>
          <w:i w:val="0"/>
          <w:color w:val="0B1F33"/>
          <w:sz w:val="28"/>
        </w:rPr>
        <w:t>1. Что клиент должен понять за 3 минуты</w:t>
      </w:r>
    </w:p>
    <w:p>
      <w:pPr>
        <w:pStyle w:val="ListBullet"/>
        <w:spacing w:after="60" w:line="264" w:lineRule="auto"/>
      </w:pPr>
      <w:r>
        <w:rPr>
          <w:rFonts w:ascii="Calibri" w:hAnsi="Calibri" w:eastAsia="Calibri"/>
          <w:b w:val="0"/>
          <w:i w:val="0"/>
          <w:color w:val="111827"/>
          <w:sz w:val="19"/>
        </w:rPr>
        <w:t>Мы не продаем SMM, ведение социальных сетей, community management, управление сообществом, бренд-сессию, контент-стратегию или performance marketing, результативный маркетинг.</w:t>
      </w:r>
    </w:p>
    <w:p>
      <w:pPr>
        <w:pStyle w:val="ListBullet"/>
        <w:spacing w:after="60" w:line="264" w:lineRule="auto"/>
      </w:pPr>
      <w:r>
        <w:rPr>
          <w:rFonts w:ascii="Calibri" w:hAnsi="Calibri" w:eastAsia="Calibri"/>
          <w:b w:val="0"/>
          <w:i w:val="0"/>
          <w:color w:val="111827"/>
          <w:sz w:val="19"/>
        </w:rPr>
        <w:t>Мы продаем управленческий переход от разового спроса к повторяемому поведению.</w:t>
      </w:r>
    </w:p>
    <w:p>
      <w:pPr>
        <w:pStyle w:val="ListBullet"/>
        <w:spacing w:after="60" w:line="264" w:lineRule="auto"/>
      </w:pPr>
      <w:r>
        <w:rPr>
          <w:rFonts w:ascii="Calibri" w:hAnsi="Calibri" w:eastAsia="Calibri"/>
          <w:b w:val="0"/>
          <w:i w:val="0"/>
          <w:color w:val="111827"/>
          <w:sz w:val="19"/>
        </w:rPr>
        <w:t>Первый платный шаг - Диагностика: она показывает, есть ли у бренда применимый мотив, сцена, ритуал, сигнал и финансовый смысл.</w:t>
      </w:r>
    </w:p>
    <w:p>
      <w:pPr>
        <w:pStyle w:val="ListBullet"/>
        <w:spacing w:after="60" w:line="264" w:lineRule="auto"/>
      </w:pPr>
      <w:r>
        <w:rPr>
          <w:rFonts w:ascii="Calibri" w:hAnsi="Calibri" w:eastAsia="Calibri"/>
          <w:b w:val="0"/>
          <w:i w:val="0"/>
          <w:color w:val="111827"/>
          <w:sz w:val="19"/>
        </w:rPr>
        <w:t>Если технология не применима, клиент получает честный отказ после Диагностики, а не дорогой проект без права на результат.</w:t>
      </w:r>
    </w:p>
    <w:p>
      <w:pPr>
        <w:keepNext/>
        <w:spacing w:before="260" w:after="100"/>
      </w:pPr>
      <w:r>
        <w:rPr>
          <w:rFonts w:ascii="Calibri" w:hAnsi="Calibri" w:eastAsia="Calibri"/>
          <w:b/>
          <w:i w:val="0"/>
          <w:color w:val="0B1F33"/>
          <w:sz w:val="28"/>
        </w:rPr>
        <w:t>2. Формула покупки для трех ролей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80" w:type="dxa"/>
        <w:tblBorders>
          <w:top w:val="single" w:sz="5" w:space="0" w:color="D8CFC3"/>
          <w:left w:val="single" w:sz="5" w:space="0" w:color="D8CFC3"/>
          <w:bottom w:val="single" w:sz="5" w:space="0" w:color="D8CFC3"/>
          <w:right w:val="single" w:sz="5" w:space="0" w:color="D8CFC3"/>
          <w:insideH w:val="single" w:sz="5" w:space="0" w:color="D8CFC3"/>
          <w:insideV w:val="single" w:sz="5" w:space="0" w:color="D8CFC3"/>
        </w:tblBorders>
      </w:tblPr>
      <w:tblGrid>
        <w:gridCol w:w="2200"/>
        <w:gridCol w:w="3400"/>
        <w:gridCol w:w="3400"/>
      </w:tblGrid>
      <w:tr>
        <w:tc>
          <w:tcPr>
            <w:tcW w:type="dxa" w:w="220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0B1F33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Роль</w:t>
            </w:r>
          </w:p>
        </w:tc>
        <w:tc>
          <w:tcPr>
            <w:tcW w:type="dxa" w:w="340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0B1F33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Что болит</w:t>
            </w:r>
          </w:p>
        </w:tc>
        <w:tc>
          <w:tcPr>
            <w:tcW w:type="dxa" w:w="340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0B1F33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Как объяснять ценность</w:t>
            </w:r>
          </w:p>
        </w:tc>
      </w:tr>
      <w:tr>
        <w:tc>
          <w:tcPr>
            <w:tcW w:type="dxa" w:w="22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Собственник / CEO, генеральный директор</w:t>
            </w:r>
          </w:p>
        </w:tc>
        <w:tc>
          <w:tcPr>
            <w:tcW w:type="dxa" w:w="34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Продажи покупаются скидкой и рекламой, маржа сжимается.</w:t>
            </w:r>
          </w:p>
        </w:tc>
        <w:tc>
          <w:tcPr>
            <w:tcW w:type="dxa" w:w="34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Диагностика показывает цену слабого спроса и возможность перейти к повторяемой экономике.</w:t>
            </w:r>
          </w:p>
        </w:tc>
      </w:tr>
      <w:tr>
        <w:tc>
          <w:tcPr>
            <w:tcW w:type="dxa" w:w="22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CMO, директор по маркетингу</w:t>
            </w:r>
          </w:p>
        </w:tc>
        <w:tc>
          <w:tcPr>
            <w:tcW w:type="dxa" w:w="34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Много активности, контента и кампаний, но слабая повторная покупка.</w:t>
            </w:r>
          </w:p>
        </w:tc>
        <w:tc>
          <w:tcPr>
            <w:tcW w:type="dxa" w:w="34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Диагностика отделяет активность от управляемого повторяемого поведения.</w:t>
            </w:r>
          </w:p>
        </w:tc>
      </w:tr>
      <w:tr>
        <w:tc>
          <w:tcPr>
            <w:tcW w:type="dxa" w:w="22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Коммерческий директор</w:t>
            </w:r>
          </w:p>
        </w:tc>
        <w:tc>
          <w:tcPr>
            <w:tcW w:type="dxa" w:w="34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Канал требует промо, клиент возвращается плохо.</w:t>
            </w:r>
          </w:p>
        </w:tc>
        <w:tc>
          <w:tcPr>
            <w:tcW w:type="dxa" w:w="34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Диагностика показывает, что удержит спрос без постоянного давления скидкой.</w:t>
            </w:r>
          </w:p>
        </w:tc>
      </w:tr>
    </w:tbl>
    <w:p>
      <w:pPr>
        <w:keepNext/>
        <w:spacing w:before="260" w:after="100"/>
      </w:pPr>
      <w:r>
        <w:rPr>
          <w:rFonts w:ascii="Calibri" w:hAnsi="Calibri" w:eastAsia="Calibri"/>
          <w:b/>
          <w:i w:val="0"/>
          <w:color w:val="0B1F33"/>
          <w:sz w:val="28"/>
        </w:rPr>
        <w:t>3. Как звучит первый экран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80" w:type="dxa"/>
        <w:tblBorders>
          <w:top w:val="single" w:sz="4" w:space="0" w:color="D8CFC3"/>
          <w:left w:val="single" w:sz="4" w:space="0" w:color="D8CFC3"/>
          <w:bottom w:val="single" w:sz="4" w:space="0" w:color="D8CFC3"/>
          <w:right w:val="single" w:sz="4" w:space="0" w:color="D8CFC3"/>
          <w:insideH w:val="single" w:sz="4" w:space="0" w:color="D8CFC3"/>
          <w:insideV w:val="single" w:sz="4" w:space="0" w:color="D8CFC3"/>
        </w:tblBorders>
      </w:tblPr>
      <w:tblGrid>
        <w:gridCol w:w="9000"/>
      </w:tblGrid>
      <w:tr>
        <w:tc>
          <w:tcPr>
            <w:tcW w:type="dxa" w:w="9000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AF7F1"/>
          </w:tcPr>
          <w:p>
            <w:pPr>
              <w:spacing w:line="269" w:lineRule="auto"/>
            </w:pPr>
            <w:r/>
            <w:r>
              <w:rPr>
                <w:rFonts w:ascii="Calibri" w:hAnsi="Calibri" w:eastAsia="Calibri"/>
                <w:b/>
                <w:i w:val="0"/>
                <w:color w:val="0F766E"/>
                <w:sz w:val="19"/>
              </w:rPr>
              <w:t xml:space="preserve">Коротко: </w:t>
            </w:r>
            <w:r>
              <w:rPr>
                <w:rFonts w:ascii="Calibri" w:hAnsi="Calibri" w:eastAsia="Calibri"/>
                <w:b w:val="0"/>
                <w:i w:val="0"/>
                <w:color w:val="111827"/>
                <w:sz w:val="18"/>
              </w:rPr>
              <w:t>Если каждый новый месяц компания заново покупает спрос скидкой, рекламой и промо, значит у нее нет управляемой повторяемости. Повторяемый спрос показывает, какой мотив, сцена, ритуал и сигнал должны возвращать клиента и как это связано с экономикой.</w:t>
            </w:r>
          </w:p>
        </w:tc>
      </w:tr>
    </w:tbl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80" w:type="dxa"/>
        <w:tblBorders>
          <w:top w:val="single" w:sz="5" w:space="0" w:color="D8CFC3"/>
          <w:left w:val="single" w:sz="5" w:space="0" w:color="D8CFC3"/>
          <w:bottom w:val="single" w:sz="5" w:space="0" w:color="D8CFC3"/>
          <w:right w:val="single" w:sz="5" w:space="0" w:color="D8CFC3"/>
          <w:insideH w:val="single" w:sz="5" w:space="0" w:color="D8CFC3"/>
          <w:insideV w:val="single" w:sz="5" w:space="0" w:color="D8CFC3"/>
        </w:tblBorders>
      </w:tblPr>
      <w:tblGrid>
        <w:gridCol w:w="2500"/>
        <w:gridCol w:w="3200"/>
        <w:gridCol w:w="3300"/>
      </w:tblGrid>
      <w:tr>
        <w:tc>
          <w:tcPr>
            <w:tcW w:type="dxa" w:w="250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0B1F33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Сигнал проблемы</w:t>
            </w:r>
          </w:p>
        </w:tc>
        <w:tc>
          <w:tcPr>
            <w:tcW w:type="dxa" w:w="320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0B1F33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Что спрашивать</w:t>
            </w:r>
          </w:p>
        </w:tc>
        <w:tc>
          <w:tcPr>
            <w:tcW w:type="dxa" w:w="330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0B1F33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Что продает Диагностика</w:t>
            </w:r>
          </w:p>
        </w:tc>
      </w:tr>
      <w:tr>
        <w:tc>
          <w:tcPr>
            <w:tcW w:type="dxa" w:w="25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Промо дает оборот, но съедает маржу.</w:t>
            </w:r>
          </w:p>
        </w:tc>
        <w:tc>
          <w:tcPr>
            <w:tcW w:type="dxa" w:w="32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Что останется от спроса, если убрать скидку?</w:t>
            </w:r>
          </w:p>
        </w:tc>
        <w:tc>
          <w:tcPr>
            <w:tcW w:type="dxa" w:w="33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Проверку цены слабого спроса.</w:t>
            </w:r>
          </w:p>
        </w:tc>
      </w:tr>
      <w:tr>
        <w:tc>
          <w:tcPr>
            <w:tcW w:type="dxa" w:w="25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Клиент покупает один раз.</w:t>
            </w:r>
          </w:p>
        </w:tc>
        <w:tc>
          <w:tcPr>
            <w:tcW w:type="dxa" w:w="32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Почему он должен повторить действие?</w:t>
            </w:r>
          </w:p>
        </w:tc>
        <w:tc>
          <w:tcPr>
            <w:tcW w:type="dxa" w:w="33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Проверку мотива, сцены и ритуала.</w:t>
            </w:r>
          </w:p>
        </w:tc>
      </w:tr>
      <w:tr>
        <w:tc>
          <w:tcPr>
            <w:tcW w:type="dxa" w:w="25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Контент есть, возврата нет.</w:t>
            </w:r>
          </w:p>
        </w:tc>
        <w:tc>
          <w:tcPr>
            <w:tcW w:type="dxa" w:w="32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Какое поведение он должен запускать?</w:t>
            </w:r>
          </w:p>
        </w:tc>
        <w:tc>
          <w:tcPr>
            <w:tcW w:type="dxa" w:w="33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Проверку отличия активности от повторяемости.</w:t>
            </w:r>
          </w:p>
        </w:tc>
      </w:tr>
      <w:tr>
        <w:tc>
          <w:tcPr>
            <w:tcW w:type="dxa" w:w="25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CRM, клиентская база, молчит.</w:t>
            </w:r>
          </w:p>
        </w:tc>
        <w:tc>
          <w:tcPr>
            <w:tcW w:type="dxa" w:w="32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Какой сигнал имеет право вернуть клиента?</w:t>
            </w:r>
          </w:p>
        </w:tc>
        <w:tc>
          <w:tcPr>
            <w:tcW w:type="dxa" w:w="33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Проверку сигнала и канала возврата.</w:t>
            </w:r>
          </w:p>
        </w:tc>
      </w:tr>
    </w:tbl>
    <w:p>
      <w:pPr>
        <w:keepNext/>
        <w:spacing w:before="260" w:after="100"/>
      </w:pPr>
      <w:r>
        <w:rPr>
          <w:rFonts w:ascii="Calibri" w:hAnsi="Calibri" w:eastAsia="Calibri"/>
          <w:b/>
          <w:i w:val="0"/>
          <w:color w:val="0B1F33"/>
          <w:sz w:val="28"/>
        </w:rPr>
        <w:t>4. Запрет первого слоя</w:t>
      </w:r>
    </w:p>
    <w:p>
      <w:pPr>
        <w:pStyle w:val="ListBullet"/>
        <w:spacing w:after="60" w:line="264" w:lineRule="auto"/>
      </w:pPr>
      <w:r>
        <w:rPr>
          <w:rFonts w:ascii="Calibri" w:hAnsi="Calibri" w:eastAsia="Calibri"/>
          <w:b w:val="0"/>
          <w:i w:val="0"/>
          <w:color w:val="111827"/>
          <w:sz w:val="19"/>
        </w:rPr>
        <w:t>Не объяснять методологию раньше боли клиента.</w:t>
      </w:r>
    </w:p>
    <w:p>
      <w:pPr>
        <w:pStyle w:val="ListBullet"/>
        <w:spacing w:after="60" w:line="264" w:lineRule="auto"/>
      </w:pPr>
      <w:r>
        <w:rPr>
          <w:rFonts w:ascii="Calibri" w:hAnsi="Calibri" w:eastAsia="Calibri"/>
          <w:b w:val="0"/>
          <w:i w:val="0"/>
          <w:color w:val="111827"/>
          <w:sz w:val="19"/>
        </w:rPr>
        <w:t>Не показывать весь комплект документов на входе.</w:t>
      </w:r>
    </w:p>
    <w:p>
      <w:pPr>
        <w:pStyle w:val="ListBullet"/>
        <w:spacing w:after="60" w:line="264" w:lineRule="auto"/>
      </w:pPr>
      <w:r>
        <w:rPr>
          <w:rFonts w:ascii="Calibri" w:hAnsi="Calibri" w:eastAsia="Calibri"/>
          <w:b w:val="0"/>
          <w:i w:val="0"/>
          <w:color w:val="111827"/>
          <w:sz w:val="19"/>
        </w:rPr>
        <w:t>Не обещать рост продаж, LTV или маржи до данных Диагностики.</w:t>
      </w:r>
    </w:p>
    <w:p>
      <w:pPr>
        <w:pStyle w:val="ListBullet"/>
        <w:spacing w:after="60" w:line="264" w:lineRule="auto"/>
      </w:pPr>
      <w:r>
        <w:rPr>
          <w:rFonts w:ascii="Calibri" w:hAnsi="Calibri" w:eastAsia="Calibri"/>
          <w:b w:val="0"/>
          <w:i w:val="0"/>
          <w:color w:val="111827"/>
          <w:sz w:val="19"/>
        </w:rPr>
        <w:t>Не проводить бесплатную Сессию под видом знакомства.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37" w:bottom="979" w:left="1123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b w:val="0"/>
        <w:i w:val="0"/>
        <w:color w:val="475569"/>
        <w:sz w:val="15"/>
      </w:rPr>
      <w:t>P1C | коммерческий первый слой | v2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i w:val="0"/>
        <w:color w:val="475569"/>
        <w:sz w:val="16"/>
      </w:rPr>
      <w:t>C-Level Insight | Повторяемый спрос | первый клиентский экран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4" w:lineRule="auto"/>
    </w:pPr>
    <w:rPr>
      <w:rFonts w:ascii="Calibri" w:hAnsi="Calibri" w:eastAsia="Calibri"/>
      <w:color w:val="11182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