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Продукты, сроки и цены / C-Level Insight</w:t>
      </w:r>
    </w:p>
    <w:p>
      <w:pPr>
        <w:pStyle w:val="Title"/>
      </w:pPr>
      <w:r>
        <w:t>Повторяемый спрос: продукты, сроки и цены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57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257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257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Аудитория</w:t>
            </w:r>
          </w:p>
        </w:tc>
      </w:tr>
      <w:tr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6"/>
              </w:rPr>
              <w:t>рабочая коммерческая версия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6"/>
              </w:rPr>
              <w:t>v1.0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6"/>
              </w:rPr>
              <w:t>17 июля 2026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6"/>
              </w:rPr>
              <w:t>средний и крупный потребительский бизнес; собственник; CEO, генеральный директор; CMO, директор по маркетингу; первый управленческий круг</w:t>
            </w:r>
          </w:p>
        </w:tc>
      </w:tr>
    </w:tbl>
    <w:p/>
    <w:p>
      <w:pPr>
        <w:pStyle w:val="Heading1"/>
      </w:pPr>
      <w:r>
        <w:t>1. Главная ценовая логика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3"/>
      </w:tblGrid>
      <w:tr>
        <w:tc>
          <w:tcPr>
            <w:tcW w:type="dxa" w:w="10313"/>
            <w:shd w:fill="F5F1EA"/>
          </w:tcPr>
          <w:p>
            <w:r>
              <w:rPr>
                <w:rFonts w:ascii="Arial" w:hAnsi="Arial"/>
                <w:color w:val="111827"/>
                <w:sz w:val="18"/>
              </w:rPr>
              <w:t>Повторяемый спрос продается не как исследование аудитории, не как бренд-стратегия, не как SMM, продвижение в социальных сетях, и не как community management, управление сообществом. Технология продает способность компании построить управляемый устойчивый спрос: мотив -&gt; сцена -&gt; ритуал -&gt; сигнал -&gt; повторяемость -&gt; финансовый эффект.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Клиент платит за</w:t>
            </w:r>
          </w:p>
        </w:tc>
        <w:tc>
          <w:tcPr>
            <w:tcW w:type="dxa" w:w="5156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Что это дает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проверку применимости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компания понимает, можно ли вообще запускать стратегию Повторяемого спроса или это будет дорогая ошибка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выбор мотива-ядра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бренд перестает говорить со всеми мотивами сразу и фиксирует один управленческий центр спроса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карту сцен и ритуалов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покупательское поведение переводится из абстрактной аудитории в повторяемые жизненные ситуации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архитектуру повторяемого спроса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мотив связывается с продуктом, SKU, ассортиментными позициями, упаковкой, контентом, CRM и каналами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финансовую модель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LTV, пожизненная ценность клиента, CAC, стоимость привлечения клиента, churn, отток, и промо-доля становятся частью стратегии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операционный дизайн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у компании появляются владельцы, метрики, review-ритм, decision gates, управленческие точки решения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защиту от отказ после диагностики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клиент не покупает большой проект, если категория, бренд или сервис не готовы к технологии</w:t>
            </w:r>
          </w:p>
        </w:tc>
      </w:tr>
    </w:tbl>
    <w:p/>
    <w:p>
      <w:pPr>
        <w:pStyle w:val="Heading1"/>
      </w:pPr>
      <w:r>
        <w:t>2. Цена слабого спроса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3"/>
      </w:tblGrid>
      <w:tr>
        <w:tc>
          <w:tcPr>
            <w:tcW w:type="dxa" w:w="10313"/>
            <w:shd w:fill="F5F1EA"/>
          </w:tcPr>
          <w:p>
            <w:r>
              <w:rPr>
                <w:rFonts w:ascii="Arial" w:hAnsi="Arial"/>
                <w:color w:val="111827"/>
                <w:sz w:val="18"/>
              </w:rPr>
              <w:t>Формула. Цена слабого спроса = потеря повторной покупки + лишний CAC + недополученный LTV + промо-субсидии + падение маржи + размывание SKU + стоимость хаотичного контента + churn / отток + стоимость операционного отката.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Масштаб потребительского бизнеса / контура</w:t>
            </w:r>
          </w:p>
        </w:tc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Потенциальная цена ошибки</w:t>
            </w:r>
          </w:p>
        </w:tc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Допустимая цена Повторяемого спроса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20-100 млн руб. годовой выручки или отдельный пилотный контур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2-15 млн руб.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650 000 - 1 800 000 руб.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100-500 млн руб.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10-75 млн руб.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1 800 000 - 6 000 000 руб.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500 млн - 2 млрд руб.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50-250 млн руб.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5 000 000 - 15 000 000 руб.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2 млрд руб.+ / портфель категорий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150 млн руб.+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индивидуально</w:t>
            </w:r>
          </w:p>
        </w:tc>
      </w:tr>
    </w:tbl>
    <w:p/>
    <w:p>
      <w:pPr>
        <w:pStyle w:val="Heading1"/>
      </w:pPr>
      <w:r>
        <w:t>3. Продуктовая лестница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2063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Диагностика</w:t>
            </w:r>
          </w:p>
        </w:tc>
        <w:tc>
          <w:tcPr>
            <w:tcW w:type="dxa" w:w="2063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Сессия</w:t>
            </w:r>
          </w:p>
        </w:tc>
        <w:tc>
          <w:tcPr>
            <w:tcW w:type="dxa" w:w="2063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Спринт</w:t>
            </w:r>
          </w:p>
        </w:tc>
        <w:tc>
          <w:tcPr>
            <w:tcW w:type="dxa" w:w="2063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Сопровождение</w:t>
            </w:r>
          </w:p>
        </w:tc>
      </w:tr>
      <w:tr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6"/>
              </w:rPr>
              <w:t>первичный разговор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6"/>
              </w:rPr>
              <w:t>вердикт применимости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6"/>
              </w:rPr>
              <w:t>выбор мотива-ядра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6"/>
              </w:rPr>
              <w:t>архитектура и операционный дизайн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6"/>
              </w:rPr>
              <w:t>удержание пилота и масштабирование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3"/>
      </w:tblGrid>
      <w:tr>
        <w:tc>
          <w:tcPr>
            <w:tcW w:type="dxa" w:w="10313"/>
            <w:shd w:fill="F5F1EA"/>
          </w:tcPr>
          <w:p>
            <w:r>
              <w:rPr>
                <w:rFonts w:ascii="Arial" w:hAnsi="Arial"/>
                <w:color w:val="111827"/>
                <w:sz w:val="18"/>
              </w:rPr>
              <w:t>Базовое правило продажи: Сессия не продается автоматически. Диагностика может завершиться тремя решениями: Go, запускать; Conditional Go, запускать при условиях; Отказ после диагностики, не запускать. Это защищает клиента от покупки неподходящей стратегии и защищает технологию от размывания.</w:t>
            </w:r>
          </w:p>
        </w:tc>
      </w:tr>
    </w:tbl>
    <w:p/>
    <w:p>
      <w:pPr>
        <w:pStyle w:val="Heading1"/>
      </w:pPr>
      <w:r>
        <w:t>4. Продукты, сроки и цены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Продукт</w:t>
            </w:r>
          </w:p>
        </w:tc>
        <w:tc>
          <w:tcPr>
            <w:tcW w:type="dxa" w:w="2063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2063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Срок</w:t>
            </w:r>
          </w:p>
        </w:tc>
        <w:tc>
          <w:tcPr>
            <w:tcW w:type="dxa" w:w="2063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Цена</w:t>
            </w:r>
          </w:p>
        </w:tc>
        <w:tc>
          <w:tcPr>
            <w:tcW w:type="dxa" w:w="2063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Когда применять</w:t>
            </w:r>
          </w:p>
        </w:tc>
      </w:tr>
      <w:tr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Презентация и первичный разговор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квалификация запроса, масштаба категории, доступа к данным и готовности к диагностике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45-60 минут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бесплатно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первый интерес, рекомендация, запрос с сайта или теплый вход</w:t>
            </w:r>
          </w:p>
        </w:tc>
      </w:tr>
      <w:tr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платный вход, проверка категории, бренда, мотива, сцен, ритуалов, финансов и рисков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2-3 недели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750 000 - 1 500 000 руб.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одна категория, один бренд, первый проект с клиентом</w:t>
            </w:r>
          </w:p>
        </w:tc>
      </w:tr>
      <w:tr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Расширенная диагностика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глубокая проверка нескольких категорий, каналов, SKU, команд, данных и отказ после диагностики факторов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3-4 недели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1 500 000 - 2 500 000 руб.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портфель, несколько каналов, маркетплейсы + retail, розница, разные версии данных</w:t>
            </w:r>
          </w:p>
        </w:tc>
      </w:tr>
      <w:tr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выбор мотива-ядра, запрещенных территорий, первичных сцен и ритуалов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5-7 рабочих дней подготовки + 1 день сессии + 5 рабочих дней оформления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1 200 000 - 2 000 000 руб.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после диагностики с вердиктом Go или Conditional Go</w:t>
            </w:r>
          </w:p>
        </w:tc>
      </w:tr>
      <w:tr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Расширенная Сессия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согласование мотива-ядра с широким первым управленческим кругом и несколькими категориями / каналами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2 дня или 3 полудня + подготовка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2 000 000 - 3 500 000 руб.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конфликт между маркетингом, продуктом, коммерцией, retail, розницей, и e-commerce, интернет-продажами</w:t>
            </w:r>
          </w:p>
        </w:tc>
      </w:tr>
      <w:tr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сборка архитектуры Повторяемого спроса, анализ разрыва, финансовой гипотезы, операционного дизайна и пилота 30/60/90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8-12 недель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4 000 000 - 7 000 000 руб.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после Сессия; один бренд / категория / ограниченный пилот</w:t>
            </w:r>
          </w:p>
        </w:tc>
      </w:tr>
      <w:tr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Расширенный Спринт внедрения Повторяемого спроса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несколько категорий, каналов, SKU-групп, упаковочных и CRM-контуров, общая панель управления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12-16 недель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7 000 000 - 12 000 000 руб.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высокая цена ошибки, портфель, несколько каналов, риск отката</w:t>
            </w:r>
          </w:p>
        </w:tc>
      </w:tr>
      <w:tr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удержание архитектуры, review-ритм, корректировка метрик, защита от отката в промо и хаотичный контент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от 3 месяцев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1 200 000 - 2 500 000 руб. / мес.</w:t>
            </w:r>
          </w:p>
        </w:tc>
        <w:tc>
          <w:tcPr>
            <w:tcW w:type="dxa" w:w="2063"/>
          </w:tcPr>
          <w:p>
            <w:r>
              <w:rPr>
                <w:rFonts w:ascii="Arial" w:hAnsi="Arial"/>
                <w:color w:val="111827"/>
                <w:sz w:val="15"/>
              </w:rPr>
              <w:t>после Спринт; клиент запускает пилот своими силами</w:t>
            </w:r>
          </w:p>
        </w:tc>
      </w:tr>
    </w:tbl>
    <w:p/>
    <w:p>
      <w:pPr>
        <w:pStyle w:val="Heading1"/>
      </w:pPr>
      <w:r>
        <w:t>5. Публичная ценовая подача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Публично</w:t>
            </w:r>
          </w:p>
        </w:tc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Что говорить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от 750 000 руб.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платный вход, проверка применимости, карта разрывов, вердикт Go / Conditional Go / Отказ после диагностики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от 1 200 000 руб.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выбор мотива-ядра и стратегическая рамка для архитектуры Повторяемого спроса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от 4 000 000 руб.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архитектура спроса, операционный дизайн, пилот 30/60/90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Сопровождение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от 1 200 000 руб. / мес.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регулярный внешний контур качества внедрения и защиты от отката</w:t>
            </w:r>
          </w:p>
        </w:tc>
      </w:tr>
    </w:tbl>
    <w:p/>
    <w:p>
      <w:pPr>
        <w:pStyle w:val="Heading1"/>
      </w:pPr>
      <w:r>
        <w:t>6. Пакеты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2578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Состав</w:t>
            </w:r>
          </w:p>
        </w:tc>
        <w:tc>
          <w:tcPr>
            <w:tcW w:type="dxa" w:w="2578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Цена</w:t>
            </w:r>
          </w:p>
        </w:tc>
        <w:tc>
          <w:tcPr>
            <w:tcW w:type="dxa" w:w="2578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Коммерческий смысл</w:t>
            </w:r>
          </w:p>
        </w:tc>
      </w:tr>
      <w:tr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Вход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презентация + первичный разговор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0 руб.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не продавать вслепую; понять масштаб боли и готовность к Диагностика, диагностике</w:t>
            </w:r>
          </w:p>
        </w:tc>
      </w:tr>
      <w:tr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Диагноз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Диагностика применимости Повторяемого спроса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750 000 - 1 500 000 руб.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получить карту применимости и честный вердикт следующего шага</w:t>
            </w:r>
          </w:p>
        </w:tc>
      </w:tr>
      <w:tr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Ядро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Диагностика + Сессия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1 900 000 - 3 500 000 руб.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перевести диагноз в выбор мотива-ядра и запрет ложных территорий</w:t>
            </w:r>
          </w:p>
        </w:tc>
      </w:tr>
      <w:tr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Архитектура спроса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Диагностика + Сессия + Спринт внедрения Повторяемого спроса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5 900 000 - 11 000 000 руб.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минимальный полный цикл: применимость, ядро, архитектура, операционный пилот</w:t>
            </w:r>
          </w:p>
        </w:tc>
      </w:tr>
      <w:tr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Demand System, система спроса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расширенная диагностика + расширенная Сессия + Спринт + 3 месяца Сопровождение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14 000 000 - 25 000 000 руб.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пересборка устойчивого спроса с защитой от отката</w:t>
            </w:r>
          </w:p>
        </w:tc>
      </w:tr>
      <w:tr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Owner Track, контур собственника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расширенный цикл + 6 месяцев Сопровождение для первого управленческого круга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25 000 000 - 45 000 000 руб.</w:t>
            </w:r>
          </w:p>
        </w:tc>
        <w:tc>
          <w:tcPr>
            <w:tcW w:type="dxa" w:w="2578"/>
          </w:tcPr>
          <w:p>
            <w:r>
              <w:rPr>
                <w:rFonts w:ascii="Arial" w:hAnsi="Arial"/>
                <w:color w:val="111827"/>
                <w:sz w:val="15"/>
              </w:rPr>
              <w:t>крупные ставки, портфель, несколько функций и высокий риск ошибки</w:t>
            </w:r>
          </w:p>
        </w:tc>
      </w:tr>
    </w:tbl>
    <w:p/>
    <w:p>
      <w:pPr>
        <w:pStyle w:val="Heading1"/>
      </w:pPr>
      <w:r>
        <w:t>7. Как калибровать цену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Цена растет, если</w:t>
            </w:r>
          </w:p>
        </w:tc>
        <w:tc>
          <w:tcPr>
            <w:tcW w:type="dxa" w:w="5156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Цена снижается, если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несколько категорий, брендов, каналов или SKU-групп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один ограниченный бренд / категория / пилот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есть retail, розница, e-commerce, интернет-продажи, маркетплейсы и собственный канал одновременно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работа идет в одном канале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нет чистых данных по повтору, LTV, CAC, ROMI, промо и churn, оттоку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данные уже собраны и доступны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нужно связывать продукт, упаковку, карточки товара, CRM, контент и UGC, пользовательский контент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нужно только диагностировать применимость или выбрать ядро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в проекте участвует широкий C-level, первый круг управления, и несколько функций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есть один владелец решения и узкий проектный контур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высокий риск отката после Спринт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у клиента сильный внутренний владелец внедрения</w:t>
            </w:r>
          </w:p>
        </w:tc>
      </w:tr>
    </w:tbl>
    <w:p/>
    <w:p>
      <w:pPr>
        <w:pStyle w:val="Heading1"/>
      </w:pPr>
      <w:r>
        <w:t>8. Гарантии и риск-реверс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Формат</w:t>
            </w:r>
          </w:p>
        </w:tc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Что гарантируется</w:t>
            </w:r>
          </w:p>
        </w:tc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Что не гарантируется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Диагностика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карта применимости, модель оценки, модель оценки, go / conditional go / отказ после диагностики, список ограничений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что Сессия или Спринт обязательно нужны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Сессия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зафиксированный мотив-ядро, запрещенные территории, первичная карта сцен и ритуалов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что команда сама изменит продукт и поведение без Спринт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Спринт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архитектура Повторяемого спроса, операционный дизайн, пилот 30/60/90, метрики и владельцы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рост продаж, маржи или LTV без выполнения действий клиента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Сопровождение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review-ритм, экспертная обратная связь, корректировки и контроль отката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замена маркетинга, продукта, CRM или менеджмента клиента</w:t>
            </w:r>
          </w:p>
        </w:tc>
      </w:tr>
    </w:tbl>
    <w:p/>
    <w:p>
      <w:pPr>
        <w:pStyle w:val="Heading1"/>
      </w:pPr>
      <w:r>
        <w:t>9. Жесткие правила продажи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5156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Диагностика всегда платная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иначе клиент просит бесплатный аудит, но не берет ответственность за данные и решения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 продавать Сессия без диагностики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сессия без диагноза превращается в спор о вкусах и позиционировании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 продавать Спринт без выбранного мотива-ядра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спринт без ядра превращается в набор креативных и операционных улучшений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 продавать формы отдельно как главный продукт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без метода шаблоны становятся таблицами, а не технологией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 обещать финансовый результат до диагностики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деньги можно обсуждать после проверки категории, данных, ритуалов и цены слабого спроса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 продолжать проект при Отказ после диагностики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технология должна защищать клиента и консультанта от дорогой имитации</w:t>
            </w:r>
          </w:p>
        </w:tc>
      </w:tr>
    </w:tbl>
    <w:p/>
    <w:p>
      <w:pPr>
        <w:pStyle w:val="Heading1"/>
      </w:pPr>
      <w:r>
        <w:t>10. Для кого не подходит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Не подходит, если клиент</w:t>
            </w:r>
          </w:p>
        </w:tc>
        <w:tc>
          <w:tcPr>
            <w:tcW w:type="dxa" w:w="5156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хочет бесплатную диагностику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 начинать проект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 готов раскрывать данные по продажам, повтору, LTV, CAC, ROMI, промо и каналам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 обещать вывод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ищет SMM, продвижение в социальных сетях, или контент-план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 продавать Повторяемый спрос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хочет community, сообщество, без продукта, ритуала и операционной модели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вернуть к диагностике или отказаться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хочет подтвердить уже принятое решение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объяснить, что технология проверяет, а не обслуживает самооправдание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не готов назначать владельцев внедрения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ставить Conditional Go или Отказ после диагностики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ожидает, что консультант заменит маркетинг, продукт, CRM и операционную команду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color w:val="111827"/>
                <w:sz w:val="16"/>
              </w:rPr>
              <w:t>объяснить границы ответственности</w:t>
            </w:r>
          </w:p>
        </w:tc>
      </w:tr>
    </w:tbl>
    <w:p/>
    <w:p>
      <w:pPr>
        <w:pStyle w:val="Heading1"/>
      </w:pPr>
      <w:r>
        <w:t>11. Как показывать цену на сайте и в продаже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Место</w:t>
            </w:r>
          </w:p>
        </w:tc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Что показывать</w:t>
            </w:r>
          </w:p>
        </w:tc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Что не делать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Первый экран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проблему слабого спроса, промо-зависимости и повторяемости; запрос презентации или диагностики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не начинать с полной таблицы цен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Страница технологии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логику Диагностика -&gt; Сессия -&gt; Спринт -&gt; Сопровождение и вердикты Go / Conditional Go / Отказ после диагностики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не обещать универсальное решение для любого бренда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Страница продуктов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диапазоны цен, сроки, результат и критерии применения каждого формата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не продавать часы, день сессии или набор таблиц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Коммерческое предложение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сначала цену слабого спроса, затем формат и цену проекта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не давать скидку до понимания масштаба проблемы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Переговоры о цене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объяснять, что цена зависит от категории, каналов, данных, SKU, операционных ролей и риска отката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5"/>
              </w:rPr>
              <w:t>не спорить о цене без рамки ценности</w:t>
            </w:r>
          </w:p>
        </w:tc>
      </w:tr>
    </w:tbl>
    <w:p/>
    <w:p>
      <w:pPr>
        <w:pStyle w:val="Heading1"/>
      </w:pPr>
      <w:r>
        <w:t>12. Итоговая рекомендация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3"/>
      </w:tblGrid>
      <w:tr>
        <w:tc>
          <w:tcPr>
            <w:tcW w:type="dxa" w:w="10313"/>
            <w:shd w:fill="F5F1EA"/>
          </w:tcPr>
          <w:p>
            <w:r>
              <w:rPr>
                <w:rFonts w:ascii="Arial" w:hAnsi="Arial"/>
                <w:color w:val="111827"/>
                <w:sz w:val="18"/>
              </w:rPr>
              <w:t>Публичная лестница: Диагностика от 750 000 руб.; Сессия от 1 200 000 руб.; Спринт от 4 000 000 руб.; Сопровождение, регулярное экспертное сопровождение, от 1 200 000 руб. / мес. Коммерческий стандарт: сначала показать цену слабого спроса, затем продать диагностику, затем двигаться по цепочке Диагностика -&gt; Сессия -&gt; Спринт -&gt; Сопровождение.</w:t>
            </w:r>
          </w:p>
        </w:tc>
      </w:tr>
    </w:tbl>
    <w:p/>
    <w:p>
      <w:pPr>
        <w:pStyle w:val="Heading1"/>
      </w:pPr>
      <w:r>
        <w:t>13. Коммерческая проверка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Роль проверки</w:t>
            </w:r>
          </w:p>
        </w:tc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3438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Коммерческий владелец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Go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лестница входа понятна: диагностика платная, полный цикл не маскируется под одну сессию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Финансовый скептик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Go с условием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в каждом предложении нужно считать цену слабого спроса и показывать диапазон экономического риска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Методолог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Go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цена поддерживает логику технологии: применимость, ядро, архитектура, внедрение, сопровождение</w:t>
            </w:r>
          </w:p>
        </w:tc>
      </w:tr>
      <w:tr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Собственник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Go</w:t>
            </w:r>
          </w:p>
        </w:tc>
        <w:tc>
          <w:tcPr>
            <w:tcW w:type="dxa" w:w="3438"/>
          </w:tcPr>
          <w:p>
            <w:r>
              <w:rPr>
                <w:rFonts w:ascii="Arial" w:hAnsi="Arial"/>
                <w:color w:val="111827"/>
                <w:sz w:val="16"/>
              </w:rPr>
              <w:t>есть понятная рамка: что компания получает, где стоп-линия и почему нельзя покупать только красивую встречу</w:t>
            </w:r>
          </w:p>
        </w:tc>
      </w:tr>
    </w:tbl>
    <w:p/>
    <w:sectPr w:rsidR="00FC693F" w:rsidRPr="0006063C" w:rsidSect="00034616">
      <w:pgSz w:w="12240" w:h="15840"/>
      <w:pgMar w:top="964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