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Повторяемый спрос - матрица связи, карта связи с первоисточниками v2</w:t>
      </w:r>
    </w:p>
    <w:p>
      <w:r>
        <w:rPr>
          <w:rFonts w:ascii="Arial" w:hAnsi="Arial"/>
          <w:b w:val="0"/>
          <w:color w:val="111827"/>
          <w:sz w:val="22"/>
        </w:rPr>
        <w:t>Документ показывает, как идеи основной книги и рабочей тетради переведены в консалтинговые блоки, шаблоны, продукты и delivery.</w:t>
      </w:r>
    </w:p>
    <w:p>
      <w:pPr>
        <w:pStyle w:val="Heading1"/>
      </w:pPr>
      <w:r>
        <w:t>1. Назначение</w:t>
      </w:r>
    </w:p>
    <w:p>
      <w:r>
        <w:rPr>
          <w:rFonts w:ascii="Arial" w:hAnsi="Arial"/>
          <w:b w:val="0"/>
          <w:color w:val="111827"/>
          <w:sz w:val="21"/>
        </w:rPr>
        <w:t>Матрица связи, карта прослеживаемости, защищает авторскую технологию от распада на набор разрозненных консалтинговых документов. Она показывает, что каждый блок v2 имеет источник в книге, рабочей тетради или уже утвержденной методической логике.</w:t>
      </w:r>
    </w:p>
    <w:p>
      <w:pPr>
        <w:pStyle w:val="Heading1"/>
      </w:pPr>
      <w:r>
        <w:t>2. Матрица связи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Идея / модуль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Основная книга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Рабочая тетрадь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Где в комплекте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Как используется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Входная логика и отказ после диагностики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Книга: почему повторяемый спрос не для всех; опыт отказа от тяжелой универсальной системы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Рабочая тетрадь: Quick Guide, Блок 1, диагностика исходной точки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Блок 00, Risk-контур, Fit Диагностика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Не продавать технологию всем; сначала проверять применимость.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Мотив как ядро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Книга: мотив как двигатель поведения и операционная система бренда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Рабочая тетрадь: Блок 1. Мотивы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Блок 02, Блок 03, Сессия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Нельзя начинать с креатива, упаковки или сообщества до выбора мотива.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Сцены поведения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Книга: сцены как реальные жизненные ситуации, где бренд живет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Рабочая тетрадь: Блок 2. Сцены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Категорийная модель мотивов, анализ разрыва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Целевая аудитория заменяется картой повторяемых сцен.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Ритуалы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Книга: ритуал связывает мотив с повторяемостью и финансами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Рабочая тетрадь: Блок 3. Ритуалы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Архитектура Повторяемого спроса, Спринт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Ритуал становится механизмом LTV и удержания.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Сигналы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Книга: сигналы позволяют бренду считываться без объяснений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Рабочая тетрадь: Блок 4. Сигналы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Стратегия жизни с Повторяемым спросом, упаковочные правила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Сигналы переводят мотив в продукт, упаковку, карточки, язык и сервис.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Сообщество потребления и социальная структура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Книга: сообщество потребления не равно аудитории или подписчикам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Рабочая тетрадь: Блок 5. Сообщество потребления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Архитектура Повторяемого спроса, стратегия жизни с Повторяемым спросом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Сообщество создается только после мотива, сцен и ритуалов.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Диагностика разрывов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Книга: если элемент модели отсутствует, сообщество потребления распадается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Рабочая тетрадь: Блок 6. Диагностика разрывов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анализ разрыва, риск-контур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Разрывы показывают, что чинить раньше: мотив, сцену, ритуал, сигнал, продукт или операцию.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Финансовая модель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Книга: LTV, CAC, ROMI, повторяемость и промо-зависимость как проверка стратегии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Рабочая тетрадь: Блок 7. Финансовая модель Повторяемого спроса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Финансовая модель Повторяемого спроса, scoring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Стратегия Повторяемого спроса должна быть измеримой, а не красивой идеей.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Внедрение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Книга: метод должен доходить до продукта, CRM, SKU и операционной модели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Рабочая тетрадь: Блок 8. План внедрения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Операционная модель, roadmap, Сопровождение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6"/>
              </w:rPr>
              <w:t>Итог проекта - не презентация, а управляемая программа действий.</w:t>
            </w:r>
          </w:p>
        </w:tc>
      </w:tr>
    </w:tbl>
    <w:p/>
    <w:p>
      <w:pPr>
        <w:pStyle w:val="Heading1"/>
      </w:pPr>
      <w:r>
        <w:t>3. Правила обновления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Новые документы v2 не должны вводить фундаментальные понятия без связи с книгой или рабочей тетрадью.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Если появляется новый термин, он добавляется в Глоссарий, глоссарий технологии.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Если появляется новый инструмент, он должен быть связан с продуктом и методическим блоком.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Если меняется коммерческий продукт, проверяется цепочка Диагностика -&gt; Сессия -&gt; Спринт -&gt; Сопровождение.</w:t>
      </w:r>
    </w:p>
    <w:sectPr w:rsidR="00FC693F" w:rsidRPr="0006063C" w:rsidSect="00034616">
      <w:pgSz w:w="12240" w:h="15840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