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Повторяемый спрос - карта комплекта и логика использования v2</w:t>
      </w:r>
    </w:p>
    <w:p>
      <w:r>
        <w:rPr>
          <w:rFonts w:ascii="Arial" w:hAnsi="Arial"/>
          <w:b w:val="0"/>
          <w:color w:val="111827"/>
          <w:sz w:val="22"/>
        </w:rPr>
        <w:t>Навигационный документ по комплекту материалов: что читать, кому показывать и как использовать документы в продаже, диагностике и поставке проекта.</w:t>
      </w:r>
    </w:p>
    <w:p>
      <w:pPr>
        <w:pStyle w:val="Heading1"/>
      </w:pPr>
      <w:r>
        <w:t>1. Управленческий вердикт</w:t>
      </w:r>
    </w:p>
    <w:p>
      <w:r/>
      <w:r>
        <w:rPr>
          <w:rFonts w:ascii="Calibri" w:hAnsi="Calibri"/>
          <w:color w:val="111827"/>
          <w:sz w:val="21"/>
        </w:rPr>
        <w:t>Комплект v2 разложен по управленческой цепочке: Диагностика -&gt; Сессия -&gt; Спринт -&gt; Сопровождение. В корне папки 30 Документация остаются только общесистемные документы: концепция, методические блоки, коммерческий слой, конкурентное позиционирование, глоссарий, вопросы и ответы, матрица связи и карта комплекта.</w:t>
      </w:r>
    </w:p>
    <w:p>
      <w:pPr>
        <w:pStyle w:val="Heading1"/>
      </w:pPr>
      <w:r>
        <w:t>2. Карта комплекта и структура папки 30 Документация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Блок комплекта</w:t>
            </w:r>
          </w:p>
        </w:tc>
        <w:tc>
          <w:tcPr>
            <w:tcW w:type="dxa" w:w="2521"/>
            <w:shd w:fill="0B1F3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Где лежит</w:t>
            </w:r>
          </w:p>
        </w:tc>
        <w:tc>
          <w:tcPr>
            <w:tcW w:type="dxa" w:w="2521"/>
            <w:shd w:fill="0B1F3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Что входит</w:t>
            </w:r>
          </w:p>
        </w:tc>
        <w:tc>
          <w:tcPr>
            <w:tcW w:type="dxa" w:w="2521"/>
            <w:shd w:fill="0B1F3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Роль</w:t>
            </w:r>
          </w:p>
        </w:tc>
      </w:tr>
      <w:tr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01. Фундамент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корень 30 Документация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Концепция, метод, 12 блоков, консалтинговая логика, глоссарий, вопросы и ответы, матрица связи с первоисточниками.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Удерживает фундамент технологии и не дает пересобирать ее заново.</w:t>
            </w:r>
          </w:p>
        </w:tc>
      </w:tr>
      <w:tr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02. Коммерческий слой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корень 30 Документация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Коммерческая линейка, коммерческий комплект, продукты сроки и цены, конкурентное позиционирование, карточки кейсов для продажи.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Помогает продавать цепочку Диагностика -&gt; Сессия -&gt; Спринт -&gt; Сопровождение.</w:t>
            </w:r>
          </w:p>
        </w:tc>
      </w:tr>
      <w:tr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03. Диагностика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10 Диагностика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Одностраничное предложение, паспорт продукта, модель оценки, заполненные примеры и шаблон аудита исходной точки бренда.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Показывает, применима ли технология Повторяемый спрос к бренду, категории и текущей управленческой ситуации.</w:t>
            </w:r>
          </w:p>
        </w:tc>
      </w:tr>
      <w:tr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04. Сессия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20 Сессия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Паспорт стратегической сессии, анализ бренда и выбор ядра, категорийная модель мотивов, архитектура Повторяемого спроса.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Переводит диагностику в выбранное ядро, мотивы, сцены, ритуалы и архитектуру спроса.</w:t>
            </w:r>
          </w:p>
        </w:tc>
      </w:tr>
      <w:tr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05. Спринт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30 Спринт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Паспорт спринта, методика работы консультанта, анализ разрыва, дорожная карта, операционная модель, риск-контур.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Превращает стратегическую рамку в план внедрения, роли, решения, контроль рисков и операционный ритм.</w:t>
            </w:r>
          </w:p>
        </w:tc>
      </w:tr>
      <w:tr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8"/>
              </w:rPr>
              <w:t>06. Сопровождение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40 Сопровождение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Паспорт сопровождения, P&amp;L, лонгрид к P&amp;L, готовность к будущему, стратегия жизни с Повторяемым спросом, финансовая модель.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Поддерживает внедрение, масштабирование, финансовую логику и управленческую устойчивость после спринта.</w:t>
            </w:r>
          </w:p>
        </w:tc>
      </w:tr>
    </w:tbl>
    <w:p/>
    <w:p>
      <w:pPr>
        <w:pStyle w:val="Heading1"/>
      </w:pPr>
      <w:r>
        <w:t>3. Маршруты чтения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Что читать сначала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Что читать затем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Что использовать в работе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Собственник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Концепция метод и технология; карта комплекта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Коммерческая линейка; конкурентное позиционирование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Каталог кейсов, one-page offer, коммерческий комплект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Ведущий консультант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12 методических блоков; методика работы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Модель оценки; шаблоны DOCX/XLSX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Диагностика, Сессия, Спринт, Сопровождение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Продажи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Одностраничное предложение; паспорта продуктов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Вопросы и ответы; карточки кейсов; конкурентное позиционирование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Коммерческий комплект, каталог кейсов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Клиент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Одностраничное предложение; релевантные кейсы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Паспорт продукта текущего этапа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Шаблоны только после продажи этапа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Аналитик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Модель оценки; матрица связи</w:t>
            </w:r>
          </w:p>
        </w:tc>
        <w:tc>
          <w:tcPr>
            <w:tcW w:type="dxa" w:w="252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Шаблоны диагностики, финансов, риск-контур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XLSX формы и заполненные примеры</w:t>
            </w:r>
          </w:p>
        </w:tc>
      </w:tr>
    </w:tbl>
    <w:p/>
    <w:p>
      <w:pPr>
        <w:pStyle w:val="Heading1"/>
      </w:pPr>
      <w:r>
        <w:t>4. Правила статусов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Кто использует</w:t>
            </w:r>
          </w:p>
        </w:tc>
      </w:tr>
      <w:tr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Внутренний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Документ для консультанта и команды C-Level Insight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Методолог, консультант, аналитик</w:t>
            </w:r>
          </w:p>
        </w:tc>
      </w:tr>
      <w:tr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Клиентский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Можно показывать клиенту после продажи или в процессе проекта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Клиентская команда</w:t>
            </w:r>
          </w:p>
        </w:tc>
      </w:tr>
      <w:tr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Коммерческий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Используется до продажи и в переговорах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Продажи, собственник, партнеры</w:t>
            </w:r>
          </w:p>
        </w:tc>
      </w:tr>
      <w:tr>
        <w:tc>
          <w:tcPr>
            <w:tcW w:type="dxa" w:w="336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8"/>
              </w:rPr>
              <w:t>Поставка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Управляет ходом проекта и качеством результата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Консультант, PM, аналитик</w:t>
            </w:r>
          </w:p>
        </w:tc>
      </w:tr>
    </w:tbl>
    <w:p/>
    <w:p>
      <w:pPr>
        <w:pStyle w:val="Heading1"/>
      </w:pPr>
      <w:r>
        <w:t>5. Связь продуктов и методических блоков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Продукт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Блоки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Ключевые артефакты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Decision rule, правило решения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Блок 00, 01, 02, 07, первичный 09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Fit map, scoring, go / conditional go / отказ после диагностики, первичная карта разрывов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Не продавать следующие этапы без права на мотив, ритуал и экономический смысл.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Блок 02, 03, часть 04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Выбранное ядро, запрещенные территории, мотивная рамка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Не переходить к ритуалам и креативу до фиксации мотива-ядра.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Блок 04, 05, 06, 09, 10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Архитектура Повторяемого спроса, операционный дизайн, пилот 30/60/90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Один спринт, два этапа: архитектура и активация.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Блок 10, 11, 08, риск-контур 07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Review-ритм, корректировки, масштабирование, контроль отката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7"/>
              </w:rPr>
              <w:t>Сопровождать внедрение, а не заменять клиентскую операционную команду.</w:t>
            </w:r>
          </w:p>
        </w:tc>
      </w:tr>
    </w:tbl>
    <w:p/>
    <w:p>
      <w:pPr>
        <w:pStyle w:val="Heading1"/>
      </w:pPr>
      <w:r>
        <w:t>6. Что нельзя делать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Не отправлять клиенту весь комплект целиком: это перегружает и снижает ценность консультации.</w:t>
      </w:r>
    </w:p>
    <w:p>
      <w:pPr>
        <w:pStyle w:val="ListBullet"/>
      </w:pPr>
      <w:r>
        <w:t>Не продавать Спринт до завершения Диагностики и Сессии.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Не использовать кейсы как обещание результата без диагностики категории.</w:t>
      </w:r>
    </w:p>
    <w:p>
      <w:pPr>
        <w:pStyle w:val="ListBullet"/>
      </w:pPr>
      <w:r>
        <w:t>Не превращать Повторяемый спрос в продвижение в социальных сетях, или управление сообществом.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Не добавлять цены в методические документы: числовые цены должны жить в отдельном коммерческом файле.</w:t>
      </w:r>
    </w:p>
    <w:sectPr w:rsidR="00FC693F" w:rsidRPr="0006063C" w:rsidSect="00034616"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