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8" w:lineRule="auto"/>
      </w:pPr>
      <w:r>
        <w:rPr>
          <w:rFonts w:ascii="Calibri" w:hAnsi="Calibri" w:eastAsia="Calibri"/>
          <w:b/>
          <w:i w:val="0"/>
          <w:color w:val="B46A3C"/>
          <w:sz w:val="18"/>
        </w:rPr>
        <w:t>C-Level Insight</w:t>
      </w:r>
    </w:p>
    <w:p>
      <w:pPr>
        <w:spacing w:before="0" w:after="40" w:line="278" w:lineRule="auto"/>
      </w:pPr>
      <w:r>
        <w:rPr>
          <w:rFonts w:ascii="Calibri" w:hAnsi="Calibri" w:eastAsia="Calibri"/>
          <w:b/>
          <w:i w:val="0"/>
          <w:color w:val="0B1F33"/>
          <w:sz w:val="46"/>
        </w:rPr>
        <w:t>Повторяемый спрос</w:t>
      </w:r>
    </w:p>
    <w:p>
      <w:pPr>
        <w:spacing w:before="0" w:after="160" w:line="278" w:lineRule="auto"/>
      </w:pPr>
      <w:r>
        <w:rPr>
          <w:rFonts w:ascii="Calibri" w:hAnsi="Calibri" w:eastAsia="Calibri"/>
          <w:b/>
          <w:i w:val="0"/>
          <w:color w:val="0F766E"/>
          <w:sz w:val="28"/>
        </w:rPr>
        <w:t>P1A: SSOT, статусы документов и языковой стандарт релиза v2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30" w:type="dxa"/>
              <w:start w:w="160" w:type="dxa"/>
              <w:bottom w:w="130" w:type="dxa"/>
              <w:end w:w="16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Главный вердикт: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Ядро технологии сохраняем. Релизная доработка v2 усиливает управляемость комплекта: SSOT, слои, статусы, клиентскую видимость, платную Диагностику как gate и контроль финансовых обещаний.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1. Назначение P1A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000"/>
        <w:gridCol w:w="9600"/>
      </w:tblGrid>
      <w:tr>
        <w:tc>
          <w:tcPr>
            <w:tcW w:type="dxa" w:w="30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Параметр</w:t>
            </w:r>
          </w:p>
        </w:tc>
        <w:tc>
          <w:tcPr>
            <w:tcW w:type="dxa" w:w="96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Публичная технология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Повторяемый спрос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Формула ядра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мотив -&gt; сцена -&gt; ритуал -&gt; сигнал -&gt; повторяемость -&gt; финансовый эффект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на P1A: ядро сохраняем, управляемость комплекта усиливаем.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Not Go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Not Go на переписывание ядра, изменение продуктовой лестницы и превращение технологии в SMM, community, бренд-сессию или контент.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Первый обязательный артефакт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Повторяемый_Спрос_Реестр_Релиза_v2.xlsx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Ключевой контроль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Клиенту продается управленческий переход к повторяемому поведению, а не SMM, community, бренд-сессия или контент.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2. SSOT и правило подчинения документов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800"/>
        <w:gridCol w:w="2300"/>
        <w:gridCol w:w="3800"/>
        <w:gridCol w:w="4300"/>
        <w:gridCol w:w="1400"/>
      </w:tblGrid>
      <w:tr>
        <w:tc>
          <w:tcPr>
            <w:tcW w:type="dxa" w:w="8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Приоритет</w:t>
            </w:r>
          </w:p>
        </w:tc>
        <w:tc>
          <w:tcPr>
            <w:tcW w:type="dxa" w:w="2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Слой</w:t>
            </w:r>
          </w:p>
        </w:tc>
        <w:tc>
          <w:tcPr>
            <w:tcW w:type="dxa" w:w="38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Документ / папка</w:t>
            </w:r>
          </w:p>
        </w:tc>
        <w:tc>
          <w:tcPr>
            <w:tcW w:type="dxa" w:w="4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Правило</w:t>
            </w:r>
          </w:p>
        </w:tc>
        <w:tc>
          <w:tcPr>
            <w:tcW w:type="dxa" w:w="14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Первоисточники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Первоисточники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Фундамент технологии и авторская база. Не переписывать, не редактировать под релиз.</w:t>
            </w:r>
          </w:p>
        </w:tc>
        <w:tc>
          <w:tcPr>
            <w:tcW w:type="dxa" w:w="1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внутренний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</w:t>
            </w:r>
          </w:p>
        </w:tc>
        <w:tc>
          <w:tcPr>
            <w:tcW w:type="dxa" w:w="2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Консалтинговый SSOT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Документация/Повторяемый_Спрос_Методология_Концепция_Метод_Технология.docx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 правды для метода, формулы ядра, границ и логики применения.</w:t>
            </w:r>
          </w:p>
        </w:tc>
        <w:tc>
          <w:tcPr>
            <w:tcW w:type="dxa" w:w="14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SSOT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Методический слой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Методология, 12 блоков, матрица, процесс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Подчиняется SSOT. Используется командой и консультантом, клиенту на входе не отдается.</w:t>
            </w:r>
          </w:p>
        </w:tc>
        <w:tc>
          <w:tcPr>
            <w:tcW w:type="dxa" w:w="1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внутренний / консультантский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</w:t>
            </w:r>
          </w:p>
        </w:tc>
        <w:tc>
          <w:tcPr>
            <w:tcW w:type="dxa" w:w="2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Продуктовый слой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Паспорта продуктов и шаблоны 10/20/30/40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Подчиняется SSOT и gate-логике. Применяется после соответствующего платного этапа.</w:t>
            </w:r>
          </w:p>
        </w:tc>
        <w:tc>
          <w:tcPr>
            <w:tcW w:type="dxa" w:w="14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5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Коммерческий слой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Документация/Повторяемый_Спрос_Коммерция_Продукты_Сроки_Цены_v1_0.docx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Цены, сроки и финансовые claims берутся только из коммерческого документа стоимости.</w:t>
            </w:r>
          </w:p>
        </w:tc>
        <w:tc>
          <w:tcPr>
            <w:tcW w:type="dxa" w:w="1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коммерческий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6</w:t>
            </w:r>
          </w:p>
        </w:tc>
        <w:tc>
          <w:tcPr>
            <w:tcW w:type="dxa" w:w="2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слой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Site, one-page offer, FAQ, кейсы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Язык очищается от слова 'племенной', не раскрывает весь комплект и продает Диагностику как платный gate.</w:t>
            </w:r>
          </w:p>
        </w:tc>
        <w:tc>
          <w:tcPr>
            <w:tcW w:type="dxa" w:w="14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3. Карта слоев и видимости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100"/>
        <w:gridCol w:w="1300"/>
        <w:gridCol w:w="5600"/>
        <w:gridCol w:w="3600"/>
      </w:tblGrid>
      <w:tr>
        <w:tc>
          <w:tcPr>
            <w:tcW w:type="dxa" w:w="21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Момент</w:t>
            </w:r>
          </w:p>
        </w:tc>
        <w:tc>
          <w:tcPr>
            <w:tcW w:type="dxa" w:w="1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Статус</w:t>
            </w:r>
          </w:p>
        </w:tc>
        <w:tc>
          <w:tcPr>
            <w:tcW w:type="dxa" w:w="56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можно / нельзя показывать</w:t>
            </w:r>
          </w:p>
        </w:tc>
        <w:tc>
          <w:tcPr>
            <w:tcW w:type="dxa" w:w="36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Причина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на входе</w:t>
            </w:r>
          </w:p>
        </w:tc>
        <w:tc>
          <w:tcPr>
            <w:tcW w:type="dxa" w:w="1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Можно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One-page offer Диагностики, короткий сайт, внешний FAQ, выборочные кейсы, формула ценности.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Цель - продать платную Диагностику, а не раскрыть весь метод.</w:t>
            </w:r>
          </w:p>
        </w:tc>
      </w:tr>
      <w:tr>
        <w:tc>
          <w:tcPr>
            <w:tcW w:type="dxa" w:w="2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на входе</w:t>
            </w:r>
          </w:p>
        </w:tc>
        <w:tc>
          <w:tcPr>
            <w:tcW w:type="dxa" w:w="1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Нельзя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12 методических блоков, матрица первоисточников, методика консультанта, рабочие XLSX-шаблоны, весь комплект v2.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Иначе клиент получает перегруз и путает технологию с обучением или пресейлом.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После Диагностики</w:t>
            </w:r>
          </w:p>
        </w:tc>
        <w:tc>
          <w:tcPr>
            <w:tcW w:type="dxa" w:w="1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Можно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Диагностический отчет, вывод go / conditional go / no-go, ограничения, следующий шаг.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отдавать выбор мотива-ядра бесплатно.</w:t>
            </w:r>
          </w:p>
        </w:tc>
      </w:tr>
      <w:tr>
        <w:tc>
          <w:tcPr>
            <w:tcW w:type="dxa" w:w="2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После Сессии</w:t>
            </w:r>
          </w:p>
        </w:tc>
        <w:tc>
          <w:tcPr>
            <w:tcW w:type="dxa" w:w="1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Можно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Решение по мотиву-ядру, запрещенные мотивы, первичная архитектура.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Спринт возможен только после выбранного ядра.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После Спринта</w:t>
            </w:r>
          </w:p>
        </w:tc>
        <w:tc>
          <w:tcPr>
            <w:tcW w:type="dxa" w:w="1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Можно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Roadmap, операционная модель, риск-контур, план пилота, финансовая гипотеза.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Сопровождение продается только при наличии объекта сопровождения.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4. Языковой стандарт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00"/>
        <w:gridCol w:w="5700"/>
        <w:gridCol w:w="2500"/>
        <w:gridCol w:w="2000"/>
      </w:tblGrid>
      <w:tr>
        <w:tc>
          <w:tcPr>
            <w:tcW w:type="dxa" w:w="24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Тема</w:t>
            </w:r>
          </w:p>
        </w:tc>
        <w:tc>
          <w:tcPr>
            <w:tcW w:type="dxa" w:w="57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Правило</w:t>
            </w:r>
          </w:p>
        </w:tc>
        <w:tc>
          <w:tcPr>
            <w:tcW w:type="dxa" w:w="25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Где применяется</w:t>
            </w:r>
          </w:p>
        </w:tc>
        <w:tc>
          <w:tcPr>
            <w:tcW w:type="dxa" w:w="20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Контроль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Название технологии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Всегда использовать 'Повторяемый спрос' как публичное название.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 / коммерческий / внутренний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OK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Слово 'племенной'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использовать в клиентском слое. Допустимо только как связь с первоисточником или внутренней историей происхождения.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только первоисточники / внутренний контекст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Стоп-слово для сайта, one-pager, первого разговора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Племенной маркетинг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Можно упоминать как исходное название книги-первоисточника, если это действительно нужно.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внутренний / источник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выносить в первый клиентский экран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Английские термины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Русский термин первым. Английский термин или аббревиатура добавляется только если она устойчива и нужна для точности.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все слои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Например: LTV, пожизненная ценность клиента; CAC, стоимость привлечения клиента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Delivery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 клиентском слое писать 'поставка проекта' или 'система ведения проекта'.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Англицизм оставить только во внутренней методологии при необходимости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Community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 клиентском слое не продавать community management, управление сообществом. Говорить 'сообщество потребления' только через мотив, сцену и ритуал.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 / коммерческий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подменять технологию SMM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Финансовые обещания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обещать рост. Говорить о проверяемых гипотезах, метриках и управленческой рамке.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все внешние слои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Любая цифра сверяется с документом стоимости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30" w:type="dxa"/>
              <w:start w:w="160" w:type="dxa"/>
              <w:bottom w:w="130" w:type="dxa"/>
              <w:end w:w="16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91C1C"/>
                <w:sz w:val="19"/>
              </w:rPr>
              <w:t xml:space="preserve">Стоп-линия клиентского слоя: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В первом клиентском экране, one-page offer, сайте и первом коммерческом разговоре не использовать слово 'племенной'. Центр объяснения: Повторяемый спрос и формула мотив -&gt; сцена -&gt; ритуал -&gt; сигнал -&gt; повторяемость -&gt; финансовый эффект.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5. Проверка итогового диагностического отчета</w:t>
      </w:r>
    </w:p>
    <w:p>
      <w:pPr>
        <w:spacing w:before="0" w:after="100" w:line="278" w:lineRule="auto"/>
      </w:pPr>
      <w:r>
        <w:rPr>
          <w:rFonts w:ascii="Calibri" w:hAnsi="Calibri" w:eastAsia="Calibri"/>
          <w:b/>
          <w:i w:val="0"/>
          <w:color w:val="0F766E"/>
          <w:sz w:val="19"/>
        </w:rPr>
        <w:t>Итоговый диагностический отчет найден.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4700"/>
        <w:gridCol w:w="4700"/>
        <w:gridCol w:w="3200"/>
      </w:tblGrid>
      <w:tr>
        <w:tc>
          <w:tcPr>
            <w:tcW w:type="dxa" w:w="47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Кандидат из 10 Диагностика</w:t>
            </w:r>
          </w:p>
        </w:tc>
        <w:tc>
          <w:tcPr>
            <w:tcW w:type="dxa" w:w="47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Роль</w:t>
            </w:r>
          </w:p>
        </w:tc>
        <w:tc>
          <w:tcPr>
            <w:tcW w:type="dxa" w:w="32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00 Повторяемый_Спрос - содержание папки.docx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диагностический материал; проверить роль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Повторяемый_Спрос_Диагностика_Evidence_Map_v2.xlsx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диагностический материал; проверить роль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Повторяемый_Спрос_Диагностика_Gate_Протокол_v2.docx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диагностический материал; проверить роль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Повторяемый_Спрос_Диагностика_Итоговый_Отчет_Шаблон_v2.docx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итоговый диагностический отчет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Подходит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Повторяемый_Спрос_Диагностика_Модель_Оценки_v2.docx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модель оценки; не заменяет итоговый отчет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Повторяемый_Спрос_Диагностика_Модель_Оценки_v2.xlsx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модель оценки; не заменяет итоговый отчет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Повторяемый_Спрос_Диагностика_Паспорт_Продукта.docx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продукта; не заменяет итоговый отчет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Повторяемый_Спрос_Диагностика_Предложение_Одностраничное.docx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one-page offer; не заменяет итоговый отчет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Повторяемый_Спрос_Диагностика_Пример_Кофе_v2.docx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пример заполнения; не заменяет шаблон отчета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Повторяемый_Спрос_Диагностика_Пример_Кофе_v2.xlsx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пример заполнения; не заменяет шаблон отчета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Повторяемый_Спрос_Диагностика_Пример_Отказ_Срочный_Ремонт_v2.docx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пример заполнения; не заменяет шаблон отчета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Повторяемый_Спрос_Диагностика_Пример_Отказ_Срочный_Ремонт_v2.xlsx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пример заполнения; не заменяет шаблон отчета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Повторяемый_Спрос_Диагностика_Шаблон_Аудит_Исходной_Точки_Бренда.docx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входной аудит; не заменяет итоговый отчет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Повторяемый_Спрос_Диагностика_Шаблон_Аудит_Исходной_Точки_Бренда.xlsx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входной аудит; не заменяет итоговый отчет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заменяет итоговый отчет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6. Карта документов, которые нельзя показывать клиенту на входе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5700"/>
        <w:gridCol w:w="1800"/>
        <w:gridCol w:w="5100"/>
      </w:tblGrid>
      <w:tr>
        <w:tc>
          <w:tcPr>
            <w:tcW w:type="dxa" w:w="57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Документ</w:t>
            </w:r>
          </w:p>
        </w:tc>
        <w:tc>
          <w:tcPr>
            <w:tcW w:type="dxa" w:w="18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Слой</w:t>
            </w:r>
          </w:p>
        </w:tc>
        <w:tc>
          <w:tcPr>
            <w:tcW w:type="dxa" w:w="51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Правило видимости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Первоисточники/00 Повторяемый_Спрос - содержание папки.docx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внутреннее основание или навигация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Первоисточники/Повторяемый_Спрос_Первоисточник_007_1_Рабочая_Тетрадь_Племенной_Маркетинг.docx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внутреннее основание или навигация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Первоисточники/Повторяемый_Спрос_Первоисточник_007_Книга_Племенной_Маркетинг.docx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внутреннее основание или навигация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Документация/00 Повторяемый_Спрос - содержание папки.docx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внутреннее основание или навигация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Диагностика/00 Повторяемый_Спрос - содержание папки.docx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Диагностика/Повторяемый_Спрос_Диагностика_Evidence_Map_v2.xlsx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Диагностика/Повторяемый_Спрос_Диагностика_Gate_Протокол_v2.docx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Диагностика/Повторяемый_Спрос_Диагностика_Итоговый_Отчет_Шаблон_v2.docx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Диагностика/Повторяемый_Спрос_Диагностика_Модель_Оценки_v2.docx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Диагностика/Повторяемый_Спрос_Диагностика_Модель_Оценки_v2.xlsx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Диагностика/Повторяемый_Спрос_Диагностика_Паспорт_Продукта.docx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Диагностика/Повторяемый_Спрос_Диагностика_Пример_Кофе_v2.docx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Диагностика/Повторяемый_Спрос_Диагностика_Пример_Кофе_v2.xlsx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Диагностика/Повторяемый_Спрос_Диагностика_Пример_Отказ_Срочный_Ремонт_v2.docx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Диагностика/Повторяемый_Спрос_Диагностика_Пример_Отказ_Срочный_Ремонт_v2.xlsx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Диагностика/Повторяемый_Спрос_Диагностика_Шаблон_Аудит_Исходной_Точки_Бренда.docx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Документация/10 Диагностика/Повторяемый_Спрос_Диагностика_Шаблон_Аудит_Исходной_Точки_Бренда.xlsx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Сессия/00 Повторяемый_Спрос - содержание папки.docx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Сессия/Повторяемый_Спрос_Сессия_Gate_Протокол_v2.docx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Сессия/Повторяемый_Спрос_Сессия_Архитектура_Решения_v2.xlsx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Сессия/Повторяемый_Спрос_Сессия_Итоговый_Протокол_v2.docx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Сессия/Повторяемый_Спрос_Сессия_Паспорт_Продукта.docx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Сессия/Повторяемый_Спрос_Сессия_Шаблон_Анализ_Бренда_Выбор_Ядра.docx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Сессия/Повторяемый_Спрос_Сессия_Шаблон_Анализ_Бренда_Выбор_Ядра.xlsx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Сессия/Повторяемый_Спрос_Сессия_Шаблон_Архитектура_Спроса.docx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Сессия/Повторяемый_Спрос_Сессия_Шаблон_Архитектура_Спроса.xlsx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Сессия/Повторяемый_Спрос_Сессия_Шаблон_Категорийная_Модель_Мотивов.docx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  <w:tr>
        <w:tc>
          <w:tcPr>
            <w:tcW w:type="dxa" w:w="57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Документация/20 Сессия/Повторяемый_Спрос_Сессия_Шаблон_Категорийная_Модель_Мотивов.xlsx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показывать клиенту на входе; использовать в работе этапа</w:t>
            </w:r>
          </w:p>
        </w:tc>
      </w:tr>
    </w:tbl>
    <w:p>
      <w:pPr>
        <w:spacing w:before="0" w:after="100" w:line="278" w:lineRule="auto"/>
      </w:pPr>
      <w:r>
        <w:rPr>
          <w:rFonts w:ascii="Calibri" w:hAnsi="Calibri" w:eastAsia="Calibri"/>
          <w:b w:val="0"/>
          <w:i/>
          <w:color w:val="475569"/>
          <w:sz w:val="17"/>
        </w:rPr>
        <w:t>Полный список находится в XLSX-реестре релиза v2.</w:t>
      </w:r>
    </w:p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7. Changelog релизной доработки P1A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300"/>
        <w:gridCol w:w="1100"/>
        <w:gridCol w:w="5600"/>
        <w:gridCol w:w="3500"/>
        <w:gridCol w:w="1100"/>
      </w:tblGrid>
      <w:tr>
        <w:tc>
          <w:tcPr>
            <w:tcW w:type="dxa" w:w="1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Дата</w:t>
            </w:r>
          </w:p>
        </w:tc>
        <w:tc>
          <w:tcPr>
            <w:tcW w:type="dxa" w:w="11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Очередь</w:t>
            </w:r>
          </w:p>
        </w:tc>
        <w:tc>
          <w:tcPr>
            <w:tcW w:type="dxa" w:w="56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Изменение</w:t>
            </w:r>
          </w:p>
        </w:tc>
        <w:tc>
          <w:tcPr>
            <w:tcW w:type="dxa" w:w="35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Артефакт</w:t>
            </w:r>
          </w:p>
        </w:tc>
        <w:tc>
          <w:tcPr>
            <w:tcW w:type="dxa" w:w="11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1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2026-07-27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P1A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Создан реестр релиза v2 с документами, статусами, слоями и правилами видимости.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 Документация/Повторяемый_Спрос_Реестр_Релиза_v2.xlsx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создано</w:t>
            </w:r>
          </w:p>
        </w:tc>
      </w:tr>
      <w:tr>
        <w:tc>
          <w:tcPr>
            <w:tcW w:type="dxa" w:w="1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2026-07-27</w:t>
            </w:r>
          </w:p>
        </w:tc>
        <w:tc>
          <w:tcPr>
            <w:tcW w:type="dxa" w:w="1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P1A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Закреплен SSOT: первоисточники как фундамент, Концепция_Метод_Технология как консалтинговый источник правды.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 Документация/Повторяемый_Спрос_Релиз_v2_SSOT_Языковой_Стандарт.docx</w:t>
            </w:r>
          </w:p>
        </w:tc>
        <w:tc>
          <w:tcPr>
            <w:tcW w:type="dxa" w:w="1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создано</w:t>
            </w:r>
          </w:p>
        </w:tc>
      </w:tr>
      <w:tr>
        <w:tc>
          <w:tcPr>
            <w:tcW w:type="dxa" w:w="1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2026-07-27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P1A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Зафиксирован языковой стандарт: публичное название Повторяемый спрос, слово 'племенной' убрать из клиентского слоя.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 Документация/Повторяемый_Спрос_Релиз_v2_SSOT_Языковой_Стандарт.docx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создано</w:t>
            </w:r>
          </w:p>
        </w:tc>
      </w:tr>
      <w:tr>
        <w:tc>
          <w:tcPr>
            <w:tcW w:type="dxa" w:w="1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2026-07-27</w:t>
            </w:r>
          </w:p>
        </w:tc>
        <w:tc>
          <w:tcPr>
            <w:tcW w:type="dxa" w:w="1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P1A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Проверено наличие итогового диагностического отчета: отдельный шаблон не найден, вынесено в P1B.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 Документация/10 Диагностика</w:t>
            </w:r>
          </w:p>
        </w:tc>
        <w:tc>
          <w:tcPr>
            <w:tcW w:type="dxa" w:w="11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вывод</w:t>
            </w:r>
          </w:p>
        </w:tc>
      </w:tr>
      <w:tr>
        <w:tc>
          <w:tcPr>
            <w:tcW w:type="dxa" w:w="1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2026-07-27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P1A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Создан changelog релизной доработки.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99 Архив/release_v2/Повторяемый_Спрос_Changelog_v2.md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создано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eastAsia="Calibri"/>
          <w:b/>
          <w:i w:val="0"/>
          <w:color w:val="0B1F33"/>
          <w:sz w:val="29"/>
        </w:rPr>
        <w:t>8. Критерии приемки P1A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4300"/>
        <w:gridCol w:w="8300"/>
      </w:tblGrid>
      <w:tr>
        <w:tc>
          <w:tcPr>
            <w:tcW w:type="dxa" w:w="4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Критерий</w:t>
            </w:r>
          </w:p>
        </w:tc>
        <w:tc>
          <w:tcPr>
            <w:tcW w:type="dxa" w:w="8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Статус P1A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реестр релиза v2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Выполнено: создан XLSX-реестр.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Назначен SSOT технологии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Выполнено: SSOT закреплен в этом документе и XLSX.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Все документы имеют слой и статус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Выполнено: разметка дана в XLSX-реестре.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Создан языковой стандарт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Выполнено: правила зафиксированы в этом документе и XLSX.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Слово 'племенной' убирается из клиентского слоя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Выполнено как правило; точечная редактура клиентских файлов - отдельная операция после авторского подтверждения.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Проверен итоговый диагностический отчет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Проверено: отдельный шаблон не найден; создание вынесено в P1B.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карта документов, которые нельзя показывать клиенту на входе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Выполнено: есть в этом документе и XLSX.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936" w:bottom="864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Релизная доработка v2 | P1A | SSOT, статусы, язык, видимость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P1A SSOT и языковой стандарт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