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Глоссарий по слоям v2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4" w:space="0" w:color="D8CFC3"/>
          <w:left w:val="single" w:sz="4" w:space="0" w:color="D8CFC3"/>
          <w:bottom w:val="single" w:sz="4" w:space="0" w:color="D8CFC3"/>
          <w:right w:val="single" w:sz="4" w:space="0" w:color="D8CFC3"/>
          <w:insideH w:val="single" w:sz="4" w:space="0" w:color="D8CFC3"/>
          <w:insideV w:val="single" w:sz="4" w:space="0" w:color="D8CFC3"/>
        </w:tblBorders>
      </w:tblPr>
      <w:tblGrid>
        <w:gridCol w:w="9000"/>
      </w:tblGrid>
      <w:tr>
        <w:tc>
          <w:tcPr>
            <w:tcW w:type="dxa" w:w="9000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3EBDD"/>
          </w:tcPr>
          <w:p>
            <w:pPr>
              <w:spacing w:line="269" w:lineRule="auto"/>
            </w:pPr>
            <w:r/>
            <w:r>
              <w:rPr>
                <w:rFonts w:ascii="Calibri" w:hAnsi="Calibri" w:eastAsia="Calibri"/>
                <w:b/>
                <w:i w:val="0"/>
                <w:color w:val="B46A3C"/>
                <w:sz w:val="19"/>
              </w:rPr>
              <w:t xml:space="preserve">Назначение: </w:t>
            </w: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Документ разводит термины по слоям использования: клиентский, коммерческий, консультантский и внутренний. Он не заменяет основной глоссарий, а показывает, какие слова можно использовать в каком контексте.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1. Правило слоев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900"/>
        <w:gridCol w:w="3000"/>
        <w:gridCol w:w="4100"/>
      </w:tblGrid>
      <w:t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Слой</w:t>
            </w:r>
          </w:p>
        </w:tc>
        <w:tc>
          <w:tcPr>
            <w:tcW w:type="dxa" w:w="3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Кому виден</w:t>
            </w:r>
          </w:p>
        </w:tc>
        <w:tc>
          <w:tcPr>
            <w:tcW w:type="dxa" w:w="41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Язык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разговор, сайт, one-page offer, одностраничное предложение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Короткий русский язык: повторяемость, мотив, сцена, ритуал, сигнал, экономика.</w:t>
            </w:r>
          </w:p>
        </w:tc>
      </w:tr>
      <w:tr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Коммерческий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презентация, КП, продукты и цены</w:t>
            </w:r>
          </w:p>
        </w:tc>
        <w:tc>
          <w:tcPr>
            <w:tcW w:type="dxa" w:w="4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Язык покупки: боль, Диагностика, gate, вердикт, сроки, результат, ограничения claims.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Консультантский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ведение проекта, сессии, спринт, сопровождение</w:t>
            </w:r>
          </w:p>
        </w:tc>
        <w:tc>
          <w:tcPr>
            <w:tcW w:type="dxa" w:w="41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Методический язык: артефакты, критерии приемки, роли, риск-контур, evidence map, карта доказательств.</w:t>
            </w:r>
          </w:p>
        </w:tc>
      </w:tr>
      <w:tr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Внутренний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первоисточники, авторская история, методологическая защита</w:t>
            </w:r>
          </w:p>
        </w:tc>
        <w:tc>
          <w:tcPr>
            <w:tcW w:type="dxa" w:w="41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Допустима связь с книгой-первоисточником и историей происхождения технологии.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2. Термины ядра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500"/>
        <w:gridCol w:w="2800"/>
        <w:gridCol w:w="3200"/>
        <w:gridCol w:w="1500"/>
      </w:tblGrid>
      <w:tr>
        <w:tc>
          <w:tcPr>
            <w:tcW w:type="dxa" w:w="1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Термин</w:t>
            </w:r>
          </w:p>
        </w:tc>
        <w:tc>
          <w:tcPr>
            <w:tcW w:type="dxa" w:w="28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Клиентский слой</w:t>
            </w:r>
          </w:p>
        </w:tc>
        <w:tc>
          <w:tcPr>
            <w:tcW w:type="dxa" w:w="32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Консультантский слой</w:t>
            </w:r>
          </w:p>
        </w:tc>
        <w:tc>
          <w:tcPr>
            <w:tcW w:type="dxa" w:w="1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Запрет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Повторяемый спрос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Технология управления тем, почему покупатель возвращается без скидки.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Система мотив -&gt; сцена -&gt; ритуал -&gt; сигнал -&gt; повторяемость -&gt; финансовый эффект.</w:t>
            </w:r>
          </w:p>
        </w:tc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сводить к рекламе, контенту или сообществу.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Мотив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Причина, по которой клиенту важно возвращаться.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Категорийная потребность, которую бренд имеет право занять.</w:t>
            </w:r>
          </w:p>
        </w:tc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подменять инсайтом или слоганом.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Сцена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Повторяющаяся жизненная ситуация клиента.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Контекст, в котором мотив становится действием.</w:t>
            </w:r>
          </w:p>
        </w:tc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описывать как абстрактную аудиторию.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Ритуал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Повторяемое действие клиента.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Поведенческий цикл, который можно поддержать продуктом, каналом и сигналом.</w:t>
            </w:r>
          </w:p>
        </w:tc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путать с акцией или контентным рубрикатором.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Сигнал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Повод вернуться.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Коммуникационный, продуктовый или сервисный триггер повторения.</w:t>
            </w:r>
          </w:p>
        </w:tc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использовать как пуш-уведомление без права на контакт.</w:t>
            </w:r>
          </w:p>
        </w:tc>
      </w:tr>
      <w:tr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Повторяемость</w:t>
            </w:r>
          </w:p>
        </w:tc>
        <w:tc>
          <w:tcPr>
            <w:tcW w:type="dxa" w:w="28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Способность клиента возвращаться к действию.</w:t>
            </w:r>
          </w:p>
        </w:tc>
        <w:tc>
          <w:tcPr>
            <w:tcW w:type="dxa" w:w="32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Проверяемая поведенческая и финансовая гипотеза.</w:t>
            </w:r>
          </w:p>
        </w:tc>
        <w:tc>
          <w:tcPr>
            <w:tcW w:type="dxa" w:w="1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доказывать разовым всплеском продаж.</w:t>
            </w:r>
          </w:p>
        </w:tc>
      </w:tr>
      <w:tr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Финансовый эффект</w:t>
            </w:r>
          </w:p>
        </w:tc>
        <w:tc>
          <w:tcPr>
            <w:tcW w:type="dxa" w:w="28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Экономический смысл повторяемости.</w:t>
            </w:r>
          </w:p>
        </w:tc>
        <w:tc>
          <w:tcPr>
            <w:tcW w:type="dxa" w:w="32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Связь с маржей, промо-долей, LTV, пожизненной ценностью клиента, CAC, стоимостью привлечения клиента.</w:t>
            </w:r>
          </w:p>
        </w:tc>
        <w:tc>
          <w:tcPr>
            <w:tcW w:type="dxa" w:w="1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обещать до данных Диагностики.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3. Термины продажи и проекта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2300"/>
        <w:gridCol w:w="3000"/>
        <w:gridCol w:w="3700"/>
      </w:tblGrid>
      <w:tr>
        <w:tc>
          <w:tcPr>
            <w:tcW w:type="dxa" w:w="23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Термин</w:t>
            </w:r>
          </w:p>
        </w:tc>
        <w:tc>
          <w:tcPr>
            <w:tcW w:type="dxa" w:w="30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Когда использовать</w:t>
            </w:r>
          </w:p>
        </w:tc>
        <w:tc>
          <w:tcPr>
            <w:tcW w:type="dxa" w:w="37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объяснять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Первый платный этап.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Проверяет применимость технологии и дает вердикт: запускать, запускать при условиях или остановить.</w:t>
            </w:r>
          </w:p>
        </w:tc>
      </w:tr>
      <w:tr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Сессия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положительного или условного вердикта Диагностики.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Выбирает мотив-ядро и архитектуру решения, а не проводит бесплатный брейншторм.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Спринт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выбранной архитектуры.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Переводит архитектуру в операционную модель, роли, метрики, 90-дневный план и пилот.</w:t>
            </w:r>
          </w:p>
        </w:tc>
      </w:tr>
      <w:tr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Сопровождение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После внедренного объекта.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Удерживает управленческий ритм, метрики, риски и решения после Спринта.</w:t>
            </w:r>
          </w:p>
        </w:tc>
      </w:tr>
      <w:tr>
        <w:tc>
          <w:tcPr>
            <w:tcW w:type="dxa" w:w="23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Gate, управленческий допуск</w:t>
            </w:r>
          </w:p>
        </w:tc>
        <w:tc>
          <w:tcPr>
            <w:tcW w:type="dxa" w:w="30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Между платными этапами.</w:t>
            </w:r>
          </w:p>
        </w:tc>
        <w:tc>
          <w:tcPr>
            <w:tcW w:type="dxa" w:w="37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Решение о переходе дальше: Go, запускать; Conditional, запускать при условиях; Stop, остановить.</w:t>
            </w:r>
          </w:p>
        </w:tc>
      </w:tr>
      <w:tr>
        <w:tc>
          <w:tcPr>
            <w:tcW w:type="dxa" w:w="23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Evidence map, карта доказательств</w:t>
            </w:r>
          </w:p>
        </w:tc>
        <w:tc>
          <w:tcPr>
            <w:tcW w:type="dxa" w:w="30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В Диагностике и финансовых claims.</w:t>
            </w:r>
          </w:p>
        </w:tc>
        <w:tc>
          <w:tcPr>
            <w:tcW w:type="dxa" w:w="37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Связывает выводы, данные, гипотезы, источники и ограничения.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4. Англицизмы и аббревиатуры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1900"/>
        <w:gridCol w:w="3600"/>
        <w:gridCol w:w="3500"/>
      </w:tblGrid>
      <w:tr>
        <w:tc>
          <w:tcPr>
            <w:tcW w:type="dxa" w:w="19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Термин</w:t>
            </w:r>
          </w:p>
        </w:tc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Как писать</w:t>
            </w:r>
          </w:p>
        </w:tc>
        <w:tc>
          <w:tcPr>
            <w:tcW w:type="dxa" w:w="35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CEO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CEO, генеральный директор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Допустимо в коммерческом слое, если рядом есть русский аналог.</w:t>
            </w:r>
          </w:p>
        </w:tc>
      </w:tr>
      <w:tr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CMO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CMO, директор по маркетингу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Использовать только при разговоре с C-level аудиторией.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LTV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LTV, пожизненная ценность клиента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Пояснять при первом употреблении.</w:t>
            </w:r>
          </w:p>
        </w:tc>
      </w:tr>
      <w:tr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CAC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CAC, стоимость привлечения клиента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Не обещать снижение без данных.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ROMI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ROMI, окупаемость маркетинга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Использовать только как метрику или гипотезу.</w:t>
            </w:r>
          </w:p>
        </w:tc>
      </w:tr>
      <w:tr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CRM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CRM, система управления клиентскими отношениями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Писать русский аналог при первом употреблении.</w:t>
            </w:r>
          </w:p>
        </w:tc>
      </w:tr>
      <w:tr>
        <w:tc>
          <w:tcPr>
            <w:tcW w:type="dxa" w:w="19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SKU</w:t>
            </w:r>
          </w:p>
        </w:tc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SKU, ассортиментная позиция</w:t>
            </w:r>
          </w:p>
        </w:tc>
        <w:tc>
          <w:tcPr>
            <w:tcW w:type="dxa" w:w="35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Допустимо в продуктовых и коммерческих документах.</w:t>
            </w:r>
          </w:p>
        </w:tc>
      </w:tr>
      <w:tr>
        <w:tc>
          <w:tcPr>
            <w:tcW w:type="dxa" w:w="19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AI / ML / LLM</w:t>
            </w:r>
          </w:p>
        </w:tc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AI, искусственный интеллект; ML, машинное обучение; LLM, большая языковая модель</w:t>
            </w:r>
          </w:p>
        </w:tc>
        <w:tc>
          <w:tcPr>
            <w:tcW w:type="dxa" w:w="35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4"/>
              </w:rPr>
              <w:t>Использовать только там, где это действительно нужно для метода или будущего развития.</w:t>
            </w:r>
          </w:p>
        </w:tc>
      </w:tr>
    </w:tbl>
    <w:p>
      <w:pPr>
        <w:keepNext/>
        <w:spacing w:before="260" w:after="100"/>
      </w:pPr>
      <w:r>
        <w:rPr>
          <w:rFonts w:ascii="Calibri" w:hAnsi="Calibri" w:eastAsia="Calibri"/>
          <w:b/>
          <w:i w:val="0"/>
          <w:color w:val="0B1F33"/>
          <w:sz w:val="28"/>
        </w:rPr>
        <w:t>5. Стоп-слова клиентского слоя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использовать старое название технологии в клиентском слое, кроме специальной истории первоисточника.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продавать community management, управление сообществом, под видом Повторяемого спроса.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использовать delivery, playbook, no-go и другие англицизмы без русского пояснения.</w:t>
      </w:r>
    </w:p>
    <w:p>
      <w:pPr>
        <w:pStyle w:val="ListBullet"/>
        <w:spacing w:after="60" w:line="264" w:lineRule="auto"/>
      </w:pPr>
      <w:r>
        <w:rPr>
          <w:rFonts w:ascii="Calibri" w:hAnsi="Calibri" w:eastAsia="Calibri"/>
          <w:b w:val="0"/>
          <w:i w:val="0"/>
          <w:color w:val="111827"/>
          <w:sz w:val="19"/>
        </w:rPr>
        <w:t>Не говорить 'гарантируем рост' или 'снизим CAC, стоимость привлечения клиента' до данных Диагностики.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P2 | терминологический слой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глоссарий по слоям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