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rial" w:hAnsi="Arial"/>
          <w:color w:val="475569"/>
          <w:sz w:val="17"/>
        </w:rPr>
        <w:t>Валерий Бирюков / C-Level Insight</w:t>
      </w:r>
    </w:p>
    <w:p>
      <w:pPr>
        <w:pStyle w:val="Title"/>
      </w:pPr>
      <w:r>
        <w:t>Повторяемый спрос Глоссарий - глоссарий технологии v2</w:t>
      </w:r>
    </w:p>
    <w:p>
      <w:r>
        <w:rPr>
          <w:rFonts w:ascii="Arial" w:hAnsi="Arial"/>
          <w:b w:val="0"/>
          <w:color w:val="111827"/>
          <w:sz w:val="22"/>
        </w:rPr>
        <w:t>Единый терминологический стандарт технологии Повторяемый спрос.</w:t>
      </w:r>
    </w:p>
    <w:p>
      <w:pPr>
        <w:pStyle w:val="Heading1"/>
      </w:pPr>
      <w:r>
        <w:t>1. Правила ведения глоссария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5043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Смысл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Один термин - одно значение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Термины не должны менять смысл между продажей, методикой и delivery.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Англицизм + русский аналог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Устойчивые англицизмы пишутся рядом с русским пояснением.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Не расширять метод случайно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Новый термин добавляется только если он нужен для продажи, диагностики или поставки.</w:t>
            </w:r>
          </w:p>
        </w:tc>
      </w:tr>
      <w:tr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Не путать уровни</w:t>
            </w:r>
          </w:p>
        </w:tc>
        <w:tc>
          <w:tcPr>
            <w:tcW w:type="dxa" w:w="5043"/>
          </w:tcPr>
          <w:p>
            <w:r>
              <w:rPr>
                <w:rFonts w:ascii="Arial" w:hAnsi="Arial"/>
                <w:color w:val="111827"/>
                <w:sz w:val="17"/>
              </w:rPr>
              <w:t>Мотив, сцена, ритуал, сигнал и сообщество - разные уровни модели.</w:t>
            </w:r>
          </w:p>
        </w:tc>
      </w:tr>
    </w:tbl>
    <w:p/>
    <w:p>
      <w:pPr>
        <w:pStyle w:val="Heading1"/>
      </w:pPr>
      <w:r>
        <w:t>2. Статусы терминов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Описание</w:t>
            </w:r>
          </w:p>
        </w:tc>
        <w:tc>
          <w:tcPr>
            <w:tcW w:type="dxa" w:w="3362"/>
            <w:shd w:fill="0B1F33"/>
          </w:tcPr>
          <w:p>
            <w:r>
              <w:rPr>
                <w:rFonts w:ascii="Arial" w:hAnsi="Arial"/>
                <w:b/>
                <w:color w:val="FFFFFF"/>
                <w:sz w:val="17"/>
              </w:rPr>
              <w:t>Пример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Основной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Термин ядра технологии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Мотив, сцена, ритуал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Продукт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Термин коммерческой линейки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Диагностика применимости Повторяемого спроса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Артефакт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Материал, создаваемый в проекте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Fit map, карта применимости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Метрика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Финансовый или поведенческий показатель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LTV, CAC, churn</w:t>
            </w:r>
          </w:p>
        </w:tc>
      </w:tr>
      <w:tr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Delivery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Термин поставки проекта</w:t>
            </w:r>
          </w:p>
        </w:tc>
        <w:tc>
          <w:tcPr>
            <w:tcW w:type="dxa" w:w="3362"/>
          </w:tcPr>
          <w:p>
            <w:r>
              <w:rPr>
                <w:rFonts w:ascii="Arial" w:hAnsi="Arial"/>
                <w:color w:val="111827"/>
                <w:sz w:val="17"/>
              </w:rPr>
              <w:t>Decision gate, roadmap</w:t>
            </w:r>
          </w:p>
        </w:tc>
      </w:tr>
    </w:tbl>
    <w:p/>
    <w:p>
      <w:pPr>
        <w:pStyle w:val="Heading1"/>
      </w:pPr>
      <w:r>
        <w:t>3. Единый глоссарий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Термин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Определение</w:t>
            </w:r>
          </w:p>
        </w:tc>
        <w:tc>
          <w:tcPr>
            <w:tcW w:type="dxa" w:w="2521"/>
            <w:shd w:fill="0B1F33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Комментарий / ограничение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Повторяемый спрос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Основной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Авторская консалтинговая технология управления устойчивым высокомаржинальным потребительским спросом через мотив, сцены, ритуалы, сигналы и операционную модель.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 сводить к community management, управлению сообществом, или SMM, продвижению в социальных сетях.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Сообщество потребления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Основной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Группа потребителей, объединенная не демографией, а мотивом, сценой, ритуалом, сигналами и повторяемым поведением.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 равно подписчикам, аудитории или базе клиентов.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Мотив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Основной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Поведенческий двигатель выбора, который определяет, зачем человеку бренд в жизни.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 эмоция, не слоган и не позиционирование.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Мотив-ядро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Основной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Один главный мотив, который бренд имеет право занять и вокруг которого строится архитектура спроса.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Выбирается до упаковки, контента, ритуалов и сообщества.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Сцена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Основной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Повторяемая жизненная ситуация, где мотив становится действием и где бренд может естественно присутствовать.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 целевая аудитория.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Ритуал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Основной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Повторяемое действие или цикл действий, который закрепляет мотив и возвращает человека к бренду.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Главный мост между стратегией и LTV.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Сигнал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Основной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Визуальный, вербальный, сенсорный или поведенческий маркер, по которому бренд и его ритуал считываются без долгого объяснения.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 декоративный элемент.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Архитектура Повторяемого спроса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Основной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Система: мотив -&gt; ритуал -&gt; сцены -&gt; сигналы -&gt; сообщество -&gt; эффект -&gt; механизм повторения.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Центральный результат спринта.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Принадлежность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Основной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Ощущение человека, что его поведение, выбор и язык совпадают с нормой группы.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Возникает из поведения, а не из призыва вступить в сообщество.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Повторяемость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Основной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Способность бренда возвращать человека через ритуал, а не только через промо, медиа или напоминание.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Один из главных критериев применимости.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Диагностика применимости Повторяемого спроса, диагностика применимости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Продукт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Первый платный этап, который проверяет, применима ли технология к категории, бренду и бизнес-задаче.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Может завершиться Go, Conditional Go или Отказ после диагностики.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Стратегическая сессия Повторяемого спроса, стратегическая сессия выбора ядра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Продукт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Этап выбора мотива-ядра, запрещенных территорий и стратегической рамки.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Нельзя проводить, если диагностика дала Отказ после диагностики.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Спринт внедрения Повторяемого спроса, спринт архитектуры Повторяемого спроса и операционного дизайна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Продукт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Этап сборки архитектуры, операционного дизайна и пилота внедрения.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Внутри один продукт с двумя этапами: архитектура и активация.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Сопровождение Повторяемого спроса, регулярное экспертное сопровождение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Продукт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Сопровождение внедрения, review-ритма, корректировок и защиты от отката.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 заменяет операционную команду клиента.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Go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Вердикт: технология применима, можно переходить к следующему платному этапу.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Фиксируется после scoring и риск-проверки.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Conditional Go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Вердикт: технология применима при выполнении условий до или во время следующего этапа.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Требует списка условий и владельцев.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Отказ после диагностики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Диагностика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Вердикт: технологию нельзя запускать сейчас.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 ошибка продажи, а профессиональная граница.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Fit map, карта применимости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Артефакт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Карта оценки категории, бренда, мотива, сцен, ритуалов, финансов и рисков.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Главный артефакт диагностики.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анализ разрыва, анализ разрывов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Артефакт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Сравнение текущего состояния бренда с целевой моделью Повторяемого спроса.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Показывает, что чинить в первую очередь.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RACI, матрица ответственности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Артефакт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Матрица ролей: кто отвечает, согласует, консультируется и информируется.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Нужна для внедрения.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CAC, стоимость привлечения клиента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Метрика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Стоимость привлечения клиента с учетом того, окупается ли он через повторяемость.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 анализируется отдельно от LTV.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LTV, пожизненная ценность клиента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Метрика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Совокупная ценность клиента за период отношений с брендом.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Повторяемый спрос ритуал должен влиять на LTV.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ROMI, возврат на маркетинговые инвестиции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Метрика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Показатель эффективности маркетинговых вложений.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В технологии рассматривается вместе с повторяемостью.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Churn, отток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Метрика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Доля клиентов, которые прекращают повторное поведение или покупки.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Один из признаков разрушения ритуала.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SKU, ассортиментная позиция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Операционный термин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Единица ассортимента, которая должна иметь роль в архитектуре Повторяемого спроса.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 каждое расширение ассортимента полезно.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CRM, система управления клиентскими отношениями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Операционный термин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Контур сообщений, данных и сценариев, который поддерживает ритуал и возврат.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 сводится к рассылкам и акциям.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Decision gate, управленческая точка решения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Delivery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Формальная точка, где клиент принимает решение: продолжать, остановить или изменить маршрут.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Обязательна между этапами.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Roadmap, дорожная карта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Delivery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План внедрения системы Повторяемого спроса во времени.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Должна иметь владельцев, сроки и метрики.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Готовность к будущему, готовность к будущему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Стратегия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Способность модели Повторяемого спроса адаптироваться к будущим изменениям категории, AI, ИИ, и поведения.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Не стартовый блок, а второй горизонт.</w:t>
            </w:r>
          </w:p>
        </w:tc>
      </w:tr>
      <w:tr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AI, ИИ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Технологический термин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Инструменты анализа сигналов, сцен, контента и клиентских данных.</w:t>
            </w:r>
          </w:p>
        </w:tc>
        <w:tc>
          <w:tcPr>
            <w:tcW w:type="dxa" w:w="2521"/>
          </w:tcPr>
          <w:p>
            <w:r>
              <w:rPr>
                <w:rFonts w:ascii="Arial" w:hAnsi="Arial"/>
                <w:color w:val="111827"/>
                <w:sz w:val="16"/>
              </w:rPr>
              <w:t>Используется как инструмент, не как центр метода.</w:t>
            </w:r>
          </w:p>
        </w:tc>
      </w:tr>
    </w:tbl>
    <w:p/>
    <w:p>
      <w:pPr>
        <w:pStyle w:val="Heading1"/>
      </w:pPr>
      <w:r>
        <w:t>4. Основание и границы документа</w:t>
      </w:r>
    </w:p>
    <w:p>
      <w:r>
        <w:rPr>
          <w:rFonts w:ascii="Arial" w:hAnsi="Arial"/>
          <w:b w:val="0"/>
          <w:color w:val="111827"/>
          <w:sz w:val="21"/>
        </w:rPr>
        <w:t>Глоссарий является стандартом для всех материалов v2. Если термин отсутствует в глоссарии, его нельзя использовать как ключевое понятие технологии без обновления этого документа.</w:t>
      </w:r>
    </w:p>
    <w:sectPr w:rsidR="00FC693F" w:rsidRPr="0006063C" w:rsidSect="00034616">
      <w:pgSz w:w="12240" w:h="15840"/>
      <w:pgMar w:top="1020" w:right="1020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B46A3C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F766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F3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