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Диагностика применимости Повторяемого спроса</w:t>
      </w:r>
    </w:p>
    <w:p>
      <w:r>
        <w:t>Одностраничное предложение: диагностика применимости стратегии Повторяемого спроса.</w:t>
      </w:r>
    </w:p>
    <w:p>
      <w:r>
        <w:t>Версия: v1.0</w:t>
      </w:r>
    </w:p>
    <w:p>
      <w:r>
        <w:t>Статус: рабочий клиентский текст. Дизайн, DOCX/PDF-верстка и цены будут подготовлены отдельным этапом.</w:t>
      </w:r>
    </w:p>
    <w:p>
      <w:pPr>
        <w:pStyle w:val="Heading2"/>
      </w:pPr>
      <w:r>
        <w:t>1. Короткая формула</w:t>
      </w:r>
    </w:p>
    <w:p>
      <w:r>
        <w:t>Диагностика применимости Повторяемого спроса, диагностика применимости стратегии Повторяемого спроса, показывает, может ли ваш бренд строить устойчивый спрос через мотив, сцены, ритуалы и сигналы - или подход Повторяемого спроса сейчас будет дорогой управленческой ошибкой.</w:t>
      </w:r>
    </w:p>
    <w:p>
      <w:pPr>
        <w:pStyle w:val="Heading2"/>
      </w:pPr>
      <w:r>
        <w:t>2. Управленческая проблема</w:t>
      </w:r>
    </w:p>
    <w:p>
      <w:r>
        <w:t>В зрелых потребительских категориях бренд все чаще покупает спрос заново каждый месяц:</w:t>
      </w:r>
    </w:p>
    <w:p>
      <w:pPr>
        <w:pStyle w:val="ListBullet"/>
      </w:pPr>
      <w:r>
        <w:t>растет CAC, стоимость привлечения клиента;</w:t>
      </w:r>
    </w:p>
    <w:p>
      <w:pPr>
        <w:pStyle w:val="ListBullet"/>
      </w:pPr>
      <w:r>
        <w:t>LTV, пожизненная ценность клиента, не растет;</w:t>
      </w:r>
    </w:p>
    <w:p>
      <w:pPr>
        <w:pStyle w:val="ListBullet"/>
      </w:pPr>
      <w:r>
        <w:t>промо и скидки становятся постоянной опорой продаж;</w:t>
      </w:r>
    </w:p>
    <w:p>
      <w:pPr>
        <w:pStyle w:val="ListBullet"/>
      </w:pPr>
      <w:r>
        <w:t>маркетплейсы стирают различия между брендами;</w:t>
      </w:r>
    </w:p>
    <w:p>
      <w:pPr>
        <w:pStyle w:val="ListBullet"/>
      </w:pPr>
      <w:r>
        <w:t>упаковка, карточки товара и контент выглядят как у конкурентов;</w:t>
      </w:r>
    </w:p>
    <w:p>
      <w:pPr>
        <w:pStyle w:val="ListBullet"/>
      </w:pPr>
      <w:r>
        <w:t>сообщество и UGC, пользовательский контент, есть, но не создают повторяемость;</w:t>
      </w:r>
    </w:p>
    <w:p>
      <w:pPr>
        <w:pStyle w:val="ListBullet"/>
      </w:pPr>
      <w:r>
        <w:t>SKU, ассортиментные позиции, множатся без единой логики.</w:t>
      </w:r>
    </w:p>
    <w:p>
      <w:r>
        <w:t>Проблема часто не в количестве рекламы или контента. Проблема в том, что бренд не управляет мотивом, сценами и ритуалами потребителя.</w:t>
      </w:r>
    </w:p>
    <w:p>
      <w:pPr>
        <w:pStyle w:val="Heading2"/>
      </w:pPr>
      <w:r>
        <w:t>3. Что дает диагностика</w:t>
      </w:r>
    </w:p>
    <w:p>
      <w:r>
        <w:t>Диагностика отвечает на главный вопрос:</w:t>
      </w:r>
    </w:p>
    <w:p>
      <w:r>
        <w:rPr>
          <w:b/>
        </w:rPr>
        <w:t>есть ли у бренда основания строить стратегию Повторяемого спроса, и какой следующий платный шаг имеет смысл.</w:t>
      </w:r>
    </w:p>
    <w:p>
      <w:r>
        <w:t>Клиент получает не "идею сообщества потребления", а управленческий вердикт: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Вердикт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означает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Go, запускать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подход Повторяемого спроса применим, можно переходить к стратегической сессии выбора ядра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Conditional go, запускать при условиях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подход потенциально применим, но сначала нужно закрыть базовые разрывы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Отказ после диагностики, не запускать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подход Повторяемого спроса сейчас преждевременен, опасен или не нужен бренду</w:t>
            </w:r>
          </w:p>
        </w:tc>
      </w:tr>
    </w:tbl>
    <w:p>
      <w:pPr>
        <w:pStyle w:val="Heading2"/>
      </w:pPr>
      <w:r>
        <w:t>4. Что проверяем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Главный вопрос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допускает ли категория стратегию Повторяемого спроса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имеет ли бренд право на мотив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какой мотив реально может активировать выбор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где бренд может жить в поведении потребителя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есть ли повторяемые действия, которые можно закрепить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может ли бренд быть узнаваемым без логотипа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какой экономический разрыв должен закрыть проект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Организация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готова ли компания удерживать дисциплину повторяемого спроса</w:t>
            </w:r>
          </w:p>
        </w:tc>
      </w:tr>
    </w:tbl>
    <w:p>
      <w:pPr>
        <w:pStyle w:val="Heading2"/>
      </w:pPr>
      <w:r>
        <w:t>5. Что получает клиент</w:t>
      </w:r>
    </w:p>
    <w:p>
      <w:r>
        <w:t>Результат диагностики:</w:t>
      </w:r>
    </w:p>
    <w:p>
      <w:pPr>
        <w:pStyle w:val="ListNumber"/>
      </w:pPr>
      <w:r>
        <w:t>Executive memo, управленческая записка, на 5-7 страниц.</w:t>
      </w:r>
    </w:p>
    <w:p>
      <w:pPr>
        <w:pStyle w:val="ListNumber"/>
      </w:pPr>
      <w:r>
        <w:t>Fit map, карта применимости стратегии Повторяемого спроса.</w:t>
      </w:r>
    </w:p>
    <w:p>
      <w:pPr>
        <w:pStyle w:val="ListNumber"/>
      </w:pPr>
      <w:r>
        <w:t>Категорийный вывод: зрелость, сцены, ритуалы, риски.</w:t>
      </w:r>
    </w:p>
    <w:p>
      <w:pPr>
        <w:pStyle w:val="ListNumber"/>
      </w:pPr>
      <w:r>
        <w:t>Первичные мотивные гипотезы.</w:t>
      </w:r>
    </w:p>
    <w:p>
      <w:pPr>
        <w:pStyle w:val="ListNumber"/>
      </w:pPr>
      <w:r>
        <w:t>Список отказ после диагностики факторов, факторов запрета.</w:t>
      </w:r>
    </w:p>
    <w:p>
      <w:pPr>
        <w:pStyle w:val="ListNumber"/>
      </w:pPr>
      <w:r>
        <w:t>Финансовая исходная точка: CAC, LTV, ROMI, промо-зависимость.</w:t>
      </w:r>
    </w:p>
    <w:p>
      <w:pPr>
        <w:pStyle w:val="ListNumber"/>
      </w:pPr>
      <w:r>
        <w:t>Риск-карта.</w:t>
      </w:r>
    </w:p>
    <w:p>
      <w:pPr>
        <w:pStyle w:val="ListNumber"/>
      </w:pPr>
      <w:r>
        <w:t>Вердикт: запускать / запускать при условиях / не запускать.</w:t>
      </w:r>
    </w:p>
    <w:p>
      <w:pPr>
        <w:pStyle w:val="ListNumber"/>
      </w:pPr>
      <w:r>
        <w:t>Рекомендованный следующий шаг на 30-90 дней.</w:t>
      </w:r>
    </w:p>
    <w:p>
      <w:pPr>
        <w:pStyle w:val="Heading2"/>
      </w:pPr>
      <w:r>
        <w:t>6. Формат работы</w:t>
      </w:r>
    </w:p>
    <w:p>
      <w:r>
        <w:t>Срок: 2-3 недели.</w:t>
      </w:r>
    </w:p>
    <w:p>
      <w:r>
        <w:t>Формат:</w:t>
      </w:r>
    </w:p>
    <w:p>
      <w:pPr>
        <w:pStyle w:val="ListBullet"/>
      </w:pPr>
      <w:r>
        <w:t>1 установочная встреча;</w:t>
      </w:r>
    </w:p>
    <w:p>
      <w:pPr>
        <w:pStyle w:val="ListBullet"/>
      </w:pPr>
      <w:r>
        <w:t>2-4 интервью с ключевыми участниками;</w:t>
      </w:r>
    </w:p>
    <w:p>
      <w:pPr>
        <w:pStyle w:val="ListBullet"/>
      </w:pPr>
      <w:r>
        <w:t>анализ материалов бренда, категории, упаковки, карточек товара, контента и каналов;</w:t>
      </w:r>
    </w:p>
    <w:p>
      <w:pPr>
        <w:pStyle w:val="ListBullet"/>
      </w:pPr>
      <w:r>
        <w:t>первичная финансовая диагностика;</w:t>
      </w:r>
    </w:p>
    <w:p>
      <w:pPr>
        <w:pStyle w:val="ListBullet"/>
      </w:pPr>
      <w:r>
        <w:t>финальная сессия с собственником, CEO, генеральным директором, CMO, директором по маркетингу, и коммерческим директором.</w:t>
      </w:r>
    </w:p>
    <w:p>
      <w:pPr>
        <w:pStyle w:val="Heading2"/>
      </w:pPr>
      <w:r>
        <w:t>7. Что не входит</w:t>
      </w:r>
    </w:p>
    <w:p>
      <w:r>
        <w:t>Диагностика не включает:</w:t>
      </w:r>
    </w:p>
    <w:p>
      <w:pPr>
        <w:pStyle w:val="ListBullet"/>
      </w:pPr>
      <w:r>
        <w:t>финальный выбор мотива-ядра;</w:t>
      </w:r>
    </w:p>
    <w:p>
      <w:pPr>
        <w:pStyle w:val="ListBullet"/>
      </w:pPr>
      <w:r>
        <w:t>полную стратегию Повторяемого спроса;</w:t>
      </w:r>
    </w:p>
    <w:p>
      <w:pPr>
        <w:pStyle w:val="ListBullet"/>
      </w:pPr>
      <w:r>
        <w:t>разработку упаковки;</w:t>
      </w:r>
    </w:p>
    <w:p>
      <w:pPr>
        <w:pStyle w:val="ListBullet"/>
      </w:pPr>
      <w:r>
        <w:t>SKU-реформу, реформу ассортиментных позиций;</w:t>
      </w:r>
    </w:p>
    <w:p>
      <w:pPr>
        <w:pStyle w:val="ListBullet"/>
      </w:pPr>
      <w:r>
        <w:t>контент-стратегию;</w:t>
      </w:r>
    </w:p>
    <w:p>
      <w:pPr>
        <w:pStyle w:val="ListBullet"/>
      </w:pPr>
      <w:r>
        <w:t>запуск сообщества;</w:t>
      </w:r>
    </w:p>
    <w:p>
      <w:pPr>
        <w:pStyle w:val="ListBullet"/>
      </w:pPr>
      <w:r>
        <w:t>внедрение.</w:t>
      </w:r>
    </w:p>
    <w:p>
      <w:r>
        <w:t>Эти работы возможны только после диагностики и только если вердикт позволяет двигаться дальше.</w:t>
      </w:r>
    </w:p>
    <w:p>
      <w:pPr>
        <w:pStyle w:val="Heading2"/>
      </w:pPr>
      <w:r>
        <w:t>8. Маршрут после диагностики</w:t>
      </w:r>
    </w:p>
    <w:p>
      <w:r>
        <w:t>Все проекты идут по последовательной платной цепочке:</w:t>
      </w:r>
    </w:p>
    <w:p>
      <w:r>
        <w:t>Диагностика -&gt; Сессия -&gt; Спринт -&gt; Сопровождение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понять, нужен ли подход бренду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выбрать мотив-ядро и ограничения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архитектуру и перевести ее в план пилота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удерживать метод при внедрении</w:t>
            </w:r>
          </w:p>
        </w:tc>
      </w:tr>
    </w:tbl>
    <w:p>
      <w:pPr>
        <w:pStyle w:val="Heading2"/>
      </w:pPr>
      <w:r>
        <w:t>9. Для кого</w:t>
      </w:r>
    </w:p>
    <w:p>
      <w:r>
        <w:t>Диагностика подходит собственникам, CEO, генеральным директорам, CMO, директорам по маркетингу, коммерческим директорам и продуктовым руководителям в зрелых потребительских категориях: FMCG, товары повседневного спроса, DIY, товары для дома и ремонта, косметика, товары для животных, сад, кофе / чай, бытовая химия, retail, розничная торговля, e-commerce, электронная коммерция, и маркетплейсы.</w:t>
      </w:r>
    </w:p>
    <w:p>
      <w:pPr>
        <w:pStyle w:val="Heading2"/>
      </w:pPr>
      <w:r>
        <w:t>10. Следующий шаг</w:t>
      </w:r>
    </w:p>
    <w:p>
      <w:r>
        <w:t>Провести короткий входной разговор и определить:</w:t>
      </w:r>
    </w:p>
    <w:p>
      <w:pPr>
        <w:pStyle w:val="ListBullet"/>
      </w:pPr>
      <w:r>
        <w:t>подходит ли категория для диагностики;</w:t>
      </w:r>
    </w:p>
    <w:p>
      <w:pPr>
        <w:pStyle w:val="ListBullet"/>
      </w:pPr>
      <w:r>
        <w:t>какие данные доступны;</w:t>
      </w:r>
    </w:p>
    <w:p>
      <w:pPr>
        <w:pStyle w:val="ListBullet"/>
      </w:pPr>
      <w:r>
        <w:t>кто должен участвовать со стороны клиента;</w:t>
      </w:r>
    </w:p>
    <w:p>
      <w:pPr>
        <w:pStyle w:val="ListBullet"/>
      </w:pPr>
      <w:r>
        <w:t>какой формат диагностики нужен: базовый или расширенный.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