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Заполненный пример: срочный ремонт, Отказ после диагностики</w:t>
      </w:r>
    </w:p>
    <w:p>
      <w:r>
        <w:rPr>
          <w:rFonts w:ascii="Arial" w:hAnsi="Arial"/>
          <w:b w:val="0"/>
          <w:color w:val="111827"/>
          <w:sz w:val="22"/>
        </w:rPr>
        <w:t>Рабочий пример заполнения диагностики, где клиенту отказано в следующих этапах.</w:t>
      </w:r>
    </w:p>
    <w:p>
      <w:pPr>
        <w:pStyle w:val="Heading1"/>
      </w:pPr>
      <w:r>
        <w:t>1. Паспорт примера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Заполненное значение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Срочный ремонт бытовой техники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Вердикт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Отказ после диагностики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Причина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Аварийная сцена, нет регулярного позитивного ритуала, сервис нестабилен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Риск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Повторяемый спрос коммуникация усилит ожидания и недоверие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делать раньше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SLA, уровень сервиса, прозрачная цена, контроль качества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Следующий продукт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 продавать Сессия; возможна повторная диагностика после исправлений</w:t>
            </w:r>
          </w:p>
        </w:tc>
      </w:tr>
    </w:tbl>
    <w:p/>
    <w:p>
      <w:pPr>
        <w:pStyle w:val="Heading1"/>
      </w:pPr>
      <w:r>
        <w:t>2. Какой вывод должен сделать консультант</w:t>
      </w:r>
    </w:p>
    <w:p>
      <w:r>
        <w:rPr>
          <w:rFonts w:ascii="Arial" w:hAnsi="Arial"/>
          <w:b w:val="0"/>
          <w:color w:val="111827"/>
          <w:sz w:val="21"/>
        </w:rPr>
        <w:t>Отказ после диагностики является результатом качественной диагностики. Консультант не должен продавать следующие этапы, если бренд не имеет права на мотив, нет ритуала и сервис не подтверждает обещание.</w:t>
      </w:r>
    </w:p>
    <w:p>
      <w:pPr>
        <w:pStyle w:val="Heading1"/>
      </w:pPr>
      <w:r>
        <w:t>3. Какие формы заполнены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Как использована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Аудит исходной точки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Зафиксированы продажи, повтор и зависимость от канала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Проверены мотивы, сцены и ритуалы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Risk-контур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Проверены ограничения и стоп-факторы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Scoring model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Сформирован Go / Отказ после диагностики вердикт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Определены первые разрывы и следующий шаг</w:t>
            </w:r>
          </w:p>
        </w:tc>
      </w:tr>
    </w:tbl>
    <w:p/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