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Шаблон. Аудит исходной точки бренда</w:t>
      </w:r>
    </w:p>
    <w:p>
      <w:pPr>
        <w:pStyle w:val="Heading2"/>
      </w:pPr>
      <w:r>
        <w:t>1. Паспорт бренда</w:t>
      </w:r>
    </w:p>
    <w:p>
      <w:r>
        <w:t>Бренд:</w:t>
      </w:r>
    </w:p>
    <w:p>
      <w:r>
        <w:t>Категория:</w:t>
      </w:r>
    </w:p>
    <w:p>
      <w:r>
        <w:t>Подкатегория:</w:t>
      </w:r>
    </w:p>
    <w:p>
      <w:r>
        <w:t>Формат продукта / услуги:</w:t>
      </w:r>
    </w:p>
    <w:p>
      <w:r>
        <w:t>Стадия зрелости рынка:</w:t>
      </w:r>
    </w:p>
    <w:p>
      <w:r>
        <w:t>Основные конкуренты:</w:t>
      </w:r>
    </w:p>
    <w:p>
      <w:r>
        <w:t>Сезонность:</w:t>
      </w:r>
    </w:p>
    <w:p>
      <w:r>
        <w:t>Частота использования:</w:t>
      </w:r>
    </w:p>
    <w:p>
      <w:r>
        <w:t>Тип вовлечения:</w:t>
      </w:r>
    </w:p>
    <w:p>
      <w:pPr>
        <w:pStyle w:val="Heading2"/>
      </w:pPr>
      <w:r>
        <w:t>2. Текущее позиционирование</w:t>
      </w:r>
    </w:p>
    <w:p>
      <w:r>
        <w:t>Что бренд декларирует:</w:t>
      </w:r>
    </w:p>
    <w:p>
      <w:r>
        <w:t>Что бренд реально делает:</w:t>
      </w:r>
    </w:p>
    <w:p>
      <w:r>
        <w:t>Как бренд воспринимается:</w:t>
      </w:r>
    </w:p>
    <w:p>
      <w:r>
        <w:t>Какие мотивы считываются сейчас:</w:t>
      </w:r>
    </w:p>
    <w:p>
      <w:r>
        <w:t>Связано ли позиционирование с реальной категорией:</w:t>
      </w:r>
    </w:p>
    <w:p>
      <w:pPr>
        <w:pStyle w:val="Heading2"/>
      </w:pPr>
      <w:r>
        <w:t>3. Матрица "заявлено / реально"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Заявлено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Реально видно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Разрыв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Обещание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Цена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Упаковка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Коммуникация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Каналы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Клиентский опыт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4. Диагностика рассинхронов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Да / нет / частично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Доказательство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Мотив бренда совпадает с мотивом категории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Сцены бренда совпадают со сценами категории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Ритуалы существуют в реальности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Сигналы бренда считываются верно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Цена поддерживает 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Продукт поддерживает 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Упаковка поддерживает 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Контент поддерживает 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5. Финансовая исходная точка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Текущее значение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Источник данных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LTV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CAC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ROMI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Доля промо-продаж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Доля органического трафика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Доля повторных покупателей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Churn / отток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Маржа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6. Где бренд проигрывает</w:t>
      </w:r>
    </w:p>
    <w:p>
      <w:r>
        <w:t>Главный проигрыш:</w:t>
      </w:r>
    </w:p>
    <w:p>
      <w:r>
        <w:t>Второй проигрыш:</w:t>
      </w:r>
    </w:p>
    <w:p>
      <w:r>
        <w:t>Третий проигрыш:</w:t>
      </w:r>
    </w:p>
    <w:p>
      <w:r>
        <w:t>Что команда считает причиной:</w:t>
      </w:r>
    </w:p>
    <w:p>
      <w:r>
        <w:t>Что видно по фактам:</w:t>
      </w:r>
    </w:p>
    <w:p>
      <w:pPr>
        <w:pStyle w:val="Heading2"/>
      </w:pPr>
      <w:r>
        <w:t>7. Первичный вывод</w:t>
      </w:r>
    </w:p>
    <w:p>
      <w:r>
        <w:t>Готов ли бренд к диагностике Повторяемого спроса:</w:t>
      </w:r>
    </w:p>
    <w:p>
      <w:r>
        <w:t>Решение:</w:t>
      </w:r>
    </w:p>
    <w:p>
      <w:pPr>
        <w:pStyle w:val="ListBullet"/>
      </w:pPr>
      <w:r>
        <w:t>[ ] Go</w:t>
      </w:r>
    </w:p>
    <w:p>
      <w:pPr>
        <w:pStyle w:val="ListBullet"/>
      </w:pPr>
      <w:r>
        <w:t>[ ] Conditional go</w:t>
      </w:r>
    </w:p>
    <w:p>
      <w:pPr>
        <w:pStyle w:val="ListBullet"/>
      </w:pPr>
      <w:r>
        <w:t>[ ] Отказ после диагностики</w:t>
      </w:r>
    </w:p>
    <w:p>
      <w:r>
        <w:t>Условия продолжения:</w:t>
      </w:r>
    </w:p>
    <w:p>
      <w:r>
        <w:t>Недостающие данные:</w:t>
      </w:r>
    </w:p>
    <w:p>
      <w:r>
        <w:t>Следующий шаг: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