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B46A3C"/>
          <w:sz w:val="17"/>
        </w:rPr>
        <w:t>C-Level Insight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F33"/>
          <w:sz w:val="44"/>
        </w:rPr>
        <w:t>Повторяемый спрос</w:t>
      </w:r>
    </w:p>
    <w:p>
      <w:pPr>
        <w:spacing w:after="200"/>
      </w:pPr>
      <w:r>
        <w:rPr>
          <w:rFonts w:ascii="Calibri" w:hAnsi="Calibri" w:eastAsia="Calibri"/>
          <w:b/>
          <w:i w:val="0"/>
          <w:color w:val="0F766E"/>
          <w:sz w:val="22"/>
        </w:rPr>
        <w:t>Сессия: итоговый протокол выбора архитектуры v2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9000"/>
      </w:tblGrid>
      <w:tr>
        <w:tc>
          <w:tcPr>
            <w:tcW w:type="dxa" w:w="900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3EBDD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B46A3C"/>
                <w:sz w:val="19"/>
              </w:rPr>
              <w:t xml:space="preserve">Назначение: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Этот документ фиксирует результат второго платного этапа. Сессия не является бренд-сессией или креативной встречей: она принимает управленческое решение, какую архитектуру повторяемого спроса компания передает в Спринт.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1. Управленческий итог Сессии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450"/>
        <w:gridCol w:w="6550"/>
      </w:tblGrid>
      <w:tr>
        <w:tc>
          <w:tcPr>
            <w:tcW w:type="dxa" w:w="24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Поле</w:t>
            </w:r>
          </w:p>
        </w:tc>
        <w:tc>
          <w:tcPr>
            <w:tcW w:type="dxa" w:w="65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Решение</w:t>
            </w:r>
          </w:p>
        </w:tc>
      </w:tr>
      <w:tr>
        <w:tc>
          <w:tcPr>
            <w:tcW w:type="dxa" w:w="24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Компания / бренд</w:t>
            </w:r>
          </w:p>
        </w:tc>
        <w:tc>
          <w:tcPr>
            <w:tcW w:type="dxa" w:w="65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[название, категория, ключевой продукт]</w:t>
            </w:r>
          </w:p>
        </w:tc>
      </w:tr>
      <w:tr>
        <w:tc>
          <w:tcPr>
            <w:tcW w:type="dxa" w:w="24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Вердикт Диагностики</w:t>
            </w:r>
          </w:p>
        </w:tc>
        <w:tc>
          <w:tcPr>
            <w:tcW w:type="dxa" w:w="65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[Go / Conditional Go с закрытыми условиями]</w:t>
            </w:r>
          </w:p>
        </w:tc>
      </w:tr>
      <w:tr>
        <w:tc>
          <w:tcPr>
            <w:tcW w:type="dxa" w:w="24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Выбранное ядро</w:t>
            </w:r>
          </w:p>
        </w:tc>
        <w:tc>
          <w:tcPr>
            <w:tcW w:type="dxa" w:w="65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[мотив-ядро, который бренд имеет право закреплять]</w:t>
            </w:r>
          </w:p>
        </w:tc>
      </w:tr>
      <w:tr>
        <w:tc>
          <w:tcPr>
            <w:tcW w:type="dxa" w:w="24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Архитектура</w:t>
            </w:r>
          </w:p>
        </w:tc>
        <w:tc>
          <w:tcPr>
            <w:tcW w:type="dxa" w:w="65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[вариант A / B / C из XLSX-модели]</w:t>
            </w:r>
          </w:p>
        </w:tc>
      </w:tr>
      <w:tr>
        <w:tc>
          <w:tcPr>
            <w:tcW w:type="dxa" w:w="24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Решение по Спринту</w:t>
            </w:r>
          </w:p>
        </w:tc>
        <w:tc>
          <w:tcPr>
            <w:tcW w:type="dxa" w:w="65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[переходить / доработать архитектуру / не запускать]</w:t>
            </w:r>
          </w:p>
        </w:tc>
      </w:tr>
      <w:tr>
        <w:tc>
          <w:tcPr>
            <w:tcW w:type="dxa" w:w="24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Главное ограничение</w:t>
            </w:r>
          </w:p>
        </w:tc>
        <w:tc>
          <w:tcPr>
            <w:tcW w:type="dxa" w:w="65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[какой мотив, сцена или обещание запрещены]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2. Выбранное ядро повторяемого спроса</w:t>
      </w:r>
    </w:p>
    <w:p>
      <w:pPr>
        <w:spacing w:before="0" w:after="100" w:line="274" w:lineRule="auto"/>
      </w:pPr>
      <w:r>
        <w:rPr>
          <w:rFonts w:ascii="Calibri" w:hAnsi="Calibri" w:eastAsia="Calibri"/>
          <w:b w:val="0"/>
          <w:i w:val="0"/>
          <w:color w:val="111827"/>
          <w:sz w:val="20"/>
        </w:rPr>
        <w:t>По итогам Сессии выбран мотив-ядро: [формулировка]. Он выбран не потому, что звучит ярко, а потому что подтвержден Диагностикой, соответствует категории, может быть переведен в сцены, ритуалы, сигналы и имеет управленческий смысл для экономики клиента.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1650"/>
        <w:gridCol w:w="4050"/>
        <w:gridCol w:w="3300"/>
      </w:tblGrid>
      <w:tr>
        <w:tc>
          <w:tcPr>
            <w:tcW w:type="dxa" w:w="16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Элемент</w:t>
            </w:r>
          </w:p>
        </w:tc>
        <w:tc>
          <w:tcPr>
            <w:tcW w:type="dxa" w:w="40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Фиксация решения</w:t>
            </w:r>
          </w:p>
        </w:tc>
        <w:tc>
          <w:tcPr>
            <w:tcW w:type="dxa" w:w="33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запрещено</w:t>
            </w:r>
          </w:p>
        </w:tc>
      </w:tr>
      <w:tr>
        <w:tc>
          <w:tcPr>
            <w:tcW w:type="dxa" w:w="16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Мотив</w:t>
            </w:r>
          </w:p>
        </w:tc>
        <w:tc>
          <w:tcPr>
            <w:tcW w:type="dxa" w:w="40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[устойчивое желание, напряжение или задача потребителя]</w:t>
            </w:r>
          </w:p>
        </w:tc>
        <w:tc>
          <w:tcPr>
            <w:tcW w:type="dxa" w:w="33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[мотивы, которые бренд не имеет права занимать]</w:t>
            </w:r>
          </w:p>
        </w:tc>
      </w:tr>
      <w:tr>
        <w:tc>
          <w:tcPr>
            <w:tcW w:type="dxa" w:w="16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Сцена</w:t>
            </w:r>
          </w:p>
        </w:tc>
        <w:tc>
          <w:tcPr>
            <w:tcW w:type="dxa" w:w="40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[главная сцена потребления]</w:t>
            </w:r>
          </w:p>
        </w:tc>
        <w:tc>
          <w:tcPr>
            <w:tcW w:type="dxa" w:w="33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[сцены, где бренд будет выглядеть искусственно]</w:t>
            </w:r>
          </w:p>
        </w:tc>
      </w:tr>
      <w:tr>
        <w:tc>
          <w:tcPr>
            <w:tcW w:type="dxa" w:w="16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Ритуал</w:t>
            </w:r>
          </w:p>
        </w:tc>
        <w:tc>
          <w:tcPr>
            <w:tcW w:type="dxa" w:w="40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[повторяемое действие потребителя]</w:t>
            </w:r>
          </w:p>
        </w:tc>
        <w:tc>
          <w:tcPr>
            <w:tcW w:type="dxa" w:w="33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[действия, которые невозможно закрепить]</w:t>
            </w:r>
          </w:p>
        </w:tc>
      </w:tr>
      <w:tr>
        <w:tc>
          <w:tcPr>
            <w:tcW w:type="dxa" w:w="16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Сигнал</w:t>
            </w:r>
          </w:p>
        </w:tc>
        <w:tc>
          <w:tcPr>
            <w:tcW w:type="dxa" w:w="40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[что возвращает человека к повторению]</w:t>
            </w:r>
          </w:p>
        </w:tc>
        <w:tc>
          <w:tcPr>
            <w:tcW w:type="dxa" w:w="33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[сигналы, которые сведут стратегию к скидке]</w:t>
            </w:r>
          </w:p>
        </w:tc>
      </w:tr>
      <w:tr>
        <w:tc>
          <w:tcPr>
            <w:tcW w:type="dxa" w:w="16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Повторяемость</w:t>
            </w:r>
          </w:p>
        </w:tc>
        <w:tc>
          <w:tcPr>
            <w:tcW w:type="dxa" w:w="40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[как будет проявляться повторное поведение]</w:t>
            </w:r>
          </w:p>
        </w:tc>
        <w:tc>
          <w:tcPr>
            <w:tcW w:type="dxa" w:w="33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[показатели, которые нельзя считать доказательством]</w:t>
            </w:r>
          </w:p>
        </w:tc>
      </w:tr>
      <w:tr>
        <w:tc>
          <w:tcPr>
            <w:tcW w:type="dxa" w:w="16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Финансовый эффект</w:t>
            </w:r>
          </w:p>
        </w:tc>
        <w:tc>
          <w:tcPr>
            <w:tcW w:type="dxa" w:w="40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[какая экономика должна проверяться]</w:t>
            </w:r>
          </w:p>
        </w:tc>
        <w:tc>
          <w:tcPr>
            <w:tcW w:type="dxa" w:w="33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[рост, маржа или CAC без модели не обещаются]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3. Архитектура спроса для передачи в Спринт</w:t>
      </w:r>
    </w:p>
    <w:tbl>
      <w:tblPr>
        <w:tblW w:type="dxa" w:w="93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1700"/>
        <w:gridCol w:w="4700"/>
        <w:gridCol w:w="2900"/>
      </w:tblGrid>
      <w:tr>
        <w:tc>
          <w:tcPr>
            <w:tcW w:type="dxa" w:w="17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Контур</w:t>
            </w:r>
          </w:p>
        </w:tc>
        <w:tc>
          <w:tcPr>
            <w:tcW w:type="dxa" w:w="47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передается в Спринт</w:t>
            </w:r>
          </w:p>
        </w:tc>
        <w:tc>
          <w:tcPr>
            <w:tcW w:type="dxa" w:w="29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Критерий готовности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Продукт</w:t>
            </w:r>
          </w:p>
        </w:tc>
        <w:tc>
          <w:tcPr>
            <w:tcW w:type="dxa" w:w="4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[какие SKU, ассортиментные позиции, упаковка или сервис поддерживают ядро]</w:t>
            </w:r>
          </w:p>
        </w:tc>
        <w:tc>
          <w:tcPr>
            <w:tcW w:type="dxa" w:w="29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Есть связь продукта с мотивом и ритуалом.</w:t>
            </w:r>
          </w:p>
        </w:tc>
      </w:tr>
      <w:tr>
        <w:tc>
          <w:tcPr>
            <w:tcW w:type="dxa" w:w="1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Коммуникация</w:t>
            </w:r>
          </w:p>
        </w:tc>
        <w:tc>
          <w:tcPr>
            <w:tcW w:type="dxa" w:w="4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[язык, темы, сообщения, ограничения]</w:t>
            </w:r>
          </w:p>
        </w:tc>
        <w:tc>
          <w:tcPr>
            <w:tcW w:type="dxa" w:w="29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Коммуникация усиливает ритуал, а не заменяет продукт.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Канал</w:t>
            </w:r>
          </w:p>
        </w:tc>
        <w:tc>
          <w:tcPr>
            <w:tcW w:type="dxa" w:w="4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[розница, маркетплейс, D2C, прямые продажи, CRM]</w:t>
            </w:r>
          </w:p>
        </w:tc>
        <w:tc>
          <w:tcPr>
            <w:tcW w:type="dxa" w:w="29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Сигнал возврата можно встроить в канал.</w:t>
            </w:r>
          </w:p>
        </w:tc>
      </w:tr>
      <w:tr>
        <w:tc>
          <w:tcPr>
            <w:tcW w:type="dxa" w:w="1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Команда</w:t>
            </w:r>
          </w:p>
        </w:tc>
        <w:tc>
          <w:tcPr>
            <w:tcW w:type="dxa" w:w="4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[владельцы решений и зоны ответственности]</w:t>
            </w:r>
          </w:p>
        </w:tc>
        <w:tc>
          <w:tcPr>
            <w:tcW w:type="dxa" w:w="29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Есть владелец архитектуры и владелец внедрения.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Финансы</w:t>
            </w:r>
          </w:p>
        </w:tc>
        <w:tc>
          <w:tcPr>
            <w:tcW w:type="dxa" w:w="4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[что проверять в P&amp;L, отчете о прибыли и убытках]</w:t>
            </w:r>
          </w:p>
        </w:tc>
        <w:tc>
          <w:tcPr>
            <w:tcW w:type="dxa" w:w="29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Метрики заданы как гипотезы, а не обещания.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4. Решение о переходе в Спринт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050"/>
        <w:gridCol w:w="3850"/>
        <w:gridCol w:w="3100"/>
      </w:tblGrid>
      <w:tr>
        <w:tc>
          <w:tcPr>
            <w:tcW w:type="dxa" w:w="20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Решение</w:t>
            </w:r>
          </w:p>
        </w:tc>
        <w:tc>
          <w:tcPr>
            <w:tcW w:type="dxa" w:w="38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Когда ставится</w:t>
            </w:r>
          </w:p>
        </w:tc>
        <w:tc>
          <w:tcPr>
            <w:tcW w:type="dxa" w:w="31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Следующее действие</w:t>
            </w:r>
          </w:p>
        </w:tc>
      </w:tr>
      <w:tr>
        <w:tc>
          <w:tcPr>
            <w:tcW w:type="dxa" w:w="20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 to Sprint, переходить в Спринт</w:t>
            </w:r>
          </w:p>
        </w:tc>
        <w:tc>
          <w:tcPr>
            <w:tcW w:type="dxa" w:w="38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Ядро выбрано, архитектура согласована, стоп-факторы закрыты, есть владелец внедрения.</w:t>
            </w:r>
          </w:p>
        </w:tc>
        <w:tc>
          <w:tcPr>
            <w:tcW w:type="dxa" w:w="31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Продавать Спринт внедрения.</w:t>
            </w:r>
          </w:p>
        </w:tc>
      </w:tr>
      <w:tr>
        <w:tc>
          <w:tcPr>
            <w:tcW w:type="dxa" w:w="20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Conditional Sprint, переходить при условиях</w:t>
            </w:r>
          </w:p>
        </w:tc>
        <w:tc>
          <w:tcPr>
            <w:tcW w:type="dxa" w:w="38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Архитектура перспективна, но есть разрыв в данных, продукте, канале, команде или финансах.</w:t>
            </w:r>
          </w:p>
        </w:tc>
        <w:tc>
          <w:tcPr>
            <w:tcW w:type="dxa" w:w="31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Зафиксировать условия входа в Спринт.</w:t>
            </w:r>
          </w:p>
        </w:tc>
      </w:tr>
      <w:tr>
        <w:tc>
          <w:tcPr>
            <w:tcW w:type="dxa" w:w="20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No Sprint, не запускать Спринт</w:t>
            </w:r>
          </w:p>
        </w:tc>
        <w:tc>
          <w:tcPr>
            <w:tcW w:type="dxa" w:w="38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Архитектура не выдерживает проверки или клиент хочет только креатив, рекламу, контент или скидки.</w:t>
            </w:r>
          </w:p>
        </w:tc>
        <w:tc>
          <w:tcPr>
            <w:tcW w:type="dxa" w:w="31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Остановить цепочку и дать честный управленческий вывод.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5. Ограничения и контроль обещаний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обещать рост продаж, маржи, LTV, пожизненной ценности клиента, или снижение CAC, стоимости привлечения клиента, без отдельной финансовой модели.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подменять архитектуру повторяемого спроса SMM, community, управлением сообществом, контент-планом или рекламной кампанией.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передавать в Спринт архитектуру, если выбранное ядро не подтверждено Диагностикой и Сессией.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расширять ядро до всех мотивов сразу: Спринт должен внедрять выбранную архитектуру, а не пересобирать стратегию заново.</w:t>
      </w:r>
    </w:p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6. Приложение: финальная формула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9000"/>
      </w:tblGrid>
      <w:tr>
        <w:tc>
          <w:tcPr>
            <w:tcW w:type="dxa" w:w="900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AF7F1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19"/>
              </w:rPr>
              <w:t xml:space="preserve">Формула решения: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[мотив] -&gt; [сцена] -&gt; [ритуал] -&gt; [сигнал] -&gt; [повторяемость] -&gt; [финансовый эффект]. Если любое звено остается неуправляемым, переход в Спринт получает условный статус или блокируется.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5"/>
      </w:rPr>
      <w:t>P1C | итоговый протокол Сессии | клиентский слой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C-Level Insight | Повторяемый спрос | Сессия P1C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