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 w:eastAsia="Calibri"/>
          <w:b/>
          <w:i w:val="0"/>
          <w:color w:val="B46A3C"/>
          <w:sz w:val="17"/>
        </w:rPr>
        <w:t>C-Level Insight</w:t>
      </w:r>
    </w:p>
    <w:p>
      <w:pPr>
        <w:spacing w:after="80"/>
      </w:pPr>
      <w:r>
        <w:rPr>
          <w:rFonts w:ascii="Calibri" w:hAnsi="Calibri" w:eastAsia="Calibri"/>
          <w:b/>
          <w:i w:val="0"/>
          <w:color w:val="0B1F33"/>
          <w:sz w:val="44"/>
        </w:rPr>
        <w:t>Повторяемый спрос</w:t>
      </w:r>
    </w:p>
    <w:p>
      <w:pPr>
        <w:spacing w:after="200"/>
      </w:pPr>
      <w:r>
        <w:rPr>
          <w:rFonts w:ascii="Calibri" w:hAnsi="Calibri" w:eastAsia="Calibri"/>
          <w:b/>
          <w:i w:val="0"/>
          <w:color w:val="0F766E"/>
          <w:sz w:val="22"/>
        </w:rPr>
        <w:t>Спринт: итоговый пакет внедрения v2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80" w:type="dxa"/>
        <w:tblBorders>
          <w:top w:val="single" w:sz="4" w:space="0" w:color="D8CFC3"/>
          <w:left w:val="single" w:sz="4" w:space="0" w:color="D8CFC3"/>
          <w:bottom w:val="single" w:sz="4" w:space="0" w:color="D8CFC3"/>
          <w:right w:val="single" w:sz="4" w:space="0" w:color="D8CFC3"/>
          <w:insideH w:val="single" w:sz="4" w:space="0" w:color="D8CFC3"/>
          <w:insideV w:val="single" w:sz="4" w:space="0" w:color="D8CFC3"/>
        </w:tblBorders>
      </w:tblPr>
      <w:tblGrid>
        <w:gridCol w:w="9000"/>
      </w:tblGrid>
      <w:tr>
        <w:tc>
          <w:tcPr>
            <w:tcW w:type="dxa" w:w="9000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3EBDD"/>
          </w:tcPr>
          <w:p>
            <w:pPr>
              <w:spacing w:line="269" w:lineRule="auto"/>
            </w:pPr>
            <w:r/>
            <w:r>
              <w:rPr>
                <w:rFonts w:ascii="Calibri" w:hAnsi="Calibri" w:eastAsia="Calibri"/>
                <w:b/>
                <w:i w:val="0"/>
                <w:color w:val="B46A3C"/>
                <w:sz w:val="19"/>
              </w:rPr>
              <w:t xml:space="preserve">Назначение: </w:t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8"/>
              </w:rPr>
              <w:t>Этот документ фиксирует результат третьего платного этапа. Спринт не придумывает стратегию заново: он переводит выбранную на Сессии архитектуру повторяемого спроса в операционную систему клиента.</w:t>
            </w:r>
          </w:p>
        </w:tc>
      </w:tr>
    </w:tbl>
    <w:p>
      <w:pPr>
        <w:keepNext/>
        <w:spacing w:before="260" w:after="100"/>
      </w:pPr>
      <w:r>
        <w:rPr>
          <w:rFonts w:ascii="Calibri" w:hAnsi="Calibri" w:eastAsia="Calibri"/>
          <w:b/>
          <w:i w:val="0"/>
          <w:color w:val="0B1F33"/>
          <w:sz w:val="28"/>
        </w:rPr>
        <w:t>1. Управленческий итог Спринта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80" w:type="dxa"/>
        <w:tblBorders>
          <w:top w:val="single" w:sz="5" w:space="0" w:color="D8CFC3"/>
          <w:left w:val="single" w:sz="5" w:space="0" w:color="D8CFC3"/>
          <w:bottom w:val="single" w:sz="5" w:space="0" w:color="D8CFC3"/>
          <w:right w:val="single" w:sz="5" w:space="0" w:color="D8CFC3"/>
          <w:insideH w:val="single" w:sz="5" w:space="0" w:color="D8CFC3"/>
          <w:insideV w:val="single" w:sz="5" w:space="0" w:color="D8CFC3"/>
        </w:tblBorders>
      </w:tblPr>
      <w:tblGrid>
        <w:gridCol w:w="2450"/>
        <w:gridCol w:w="6550"/>
      </w:tblGrid>
      <w:tr>
        <w:tc>
          <w:tcPr>
            <w:tcW w:type="dxa" w:w="245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Поле</w:t>
            </w:r>
          </w:p>
        </w:tc>
        <w:tc>
          <w:tcPr>
            <w:tcW w:type="dxa" w:w="655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Фиксация</w:t>
            </w:r>
          </w:p>
        </w:tc>
      </w:tr>
      <w:tr>
        <w:tc>
          <w:tcPr>
            <w:tcW w:type="dxa" w:w="245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Компания / бренд</w:t>
            </w:r>
          </w:p>
        </w:tc>
        <w:tc>
          <w:tcPr>
            <w:tcW w:type="dxa" w:w="655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[название, категория, ключевой продукт]</w:t>
            </w:r>
          </w:p>
        </w:tc>
      </w:tr>
      <w:tr>
        <w:tc>
          <w:tcPr>
            <w:tcW w:type="dxa" w:w="245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Основание входа</w:t>
            </w:r>
          </w:p>
        </w:tc>
        <w:tc>
          <w:tcPr>
            <w:tcW w:type="dxa" w:w="655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[итог Диагностики и Сессии, gate-статус]</w:t>
            </w:r>
          </w:p>
        </w:tc>
      </w:tr>
      <w:tr>
        <w:tc>
          <w:tcPr>
            <w:tcW w:type="dxa" w:w="245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Внедряемая архитектура</w:t>
            </w:r>
          </w:p>
        </w:tc>
        <w:tc>
          <w:tcPr>
            <w:tcW w:type="dxa" w:w="655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[мотив -&gt; сцена -&gt; ритуал -&gt; сигнал -&gt; повторяемость -&gt; финансовый эффект]</w:t>
            </w:r>
          </w:p>
        </w:tc>
      </w:tr>
      <w:tr>
        <w:tc>
          <w:tcPr>
            <w:tcW w:type="dxa" w:w="245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Горизонт внедрения</w:t>
            </w:r>
          </w:p>
        </w:tc>
        <w:tc>
          <w:tcPr>
            <w:tcW w:type="dxa" w:w="655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90 дней: настройка, пилот, закрепление</w:t>
            </w:r>
          </w:p>
        </w:tc>
      </w:tr>
      <w:tr>
        <w:tc>
          <w:tcPr>
            <w:tcW w:type="dxa" w:w="245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Владелец внедрения</w:t>
            </w:r>
          </w:p>
        </w:tc>
        <w:tc>
          <w:tcPr>
            <w:tcW w:type="dxa" w:w="655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[C-level sponsor, project owner, команда]</w:t>
            </w:r>
          </w:p>
        </w:tc>
      </w:tr>
      <w:tr>
        <w:tc>
          <w:tcPr>
            <w:tcW w:type="dxa" w:w="245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Решение по Сопровождению</w:t>
            </w:r>
          </w:p>
        </w:tc>
        <w:tc>
          <w:tcPr>
            <w:tcW w:type="dxa" w:w="655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[переходить / донастроить / не продавать]</w:t>
            </w:r>
          </w:p>
        </w:tc>
      </w:tr>
    </w:tbl>
    <w:p>
      <w:pPr>
        <w:keepNext/>
        <w:spacing w:before="260" w:after="100"/>
      </w:pPr>
      <w:r>
        <w:rPr>
          <w:rFonts w:ascii="Calibri" w:hAnsi="Calibri" w:eastAsia="Calibri"/>
          <w:b/>
          <w:i w:val="0"/>
          <w:color w:val="0B1F33"/>
          <w:sz w:val="28"/>
        </w:rPr>
        <w:t>2. Что внедрено или подготовлено к запуску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80" w:type="dxa"/>
        <w:tblBorders>
          <w:top w:val="single" w:sz="5" w:space="0" w:color="D8CFC3"/>
          <w:left w:val="single" w:sz="5" w:space="0" w:color="D8CFC3"/>
          <w:bottom w:val="single" w:sz="5" w:space="0" w:color="D8CFC3"/>
          <w:right w:val="single" w:sz="5" w:space="0" w:color="D8CFC3"/>
          <w:insideH w:val="single" w:sz="5" w:space="0" w:color="D8CFC3"/>
          <w:insideV w:val="single" w:sz="5" w:space="0" w:color="D8CFC3"/>
        </w:tblBorders>
      </w:tblPr>
      <w:tblGrid>
        <w:gridCol w:w="1500"/>
        <w:gridCol w:w="5000"/>
        <w:gridCol w:w="2500"/>
      </w:tblGrid>
      <w:tr>
        <w:tc>
          <w:tcPr>
            <w:tcW w:type="dxa" w:w="15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Контур</w:t>
            </w:r>
          </w:p>
        </w:tc>
        <w:tc>
          <w:tcPr>
            <w:tcW w:type="dxa" w:w="50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Решение Спринта</w:t>
            </w:r>
          </w:p>
        </w:tc>
        <w:tc>
          <w:tcPr>
            <w:tcW w:type="dxa" w:w="25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Критерий готовности</w:t>
            </w:r>
          </w:p>
        </w:tc>
      </w:tr>
      <w:tr>
        <w:tc>
          <w:tcPr>
            <w:tcW w:type="dxa" w:w="15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Продукт</w:t>
            </w:r>
          </w:p>
        </w:tc>
        <w:tc>
          <w:tcPr>
            <w:tcW w:type="dxa" w:w="50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[SKU, ассортиментные позиции, упаковка, сервис, продуктовые ограничения]</w:t>
            </w:r>
          </w:p>
        </w:tc>
        <w:tc>
          <w:tcPr>
            <w:tcW w:type="dxa" w:w="25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Продукт поддерживает выбранный мотив, сцену и ритуал.</w:t>
            </w:r>
          </w:p>
        </w:tc>
      </w:tr>
      <w:tr>
        <w:tc>
          <w:tcPr>
            <w:tcW w:type="dxa" w:w="15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Коммуникация</w:t>
            </w:r>
          </w:p>
        </w:tc>
        <w:tc>
          <w:tcPr>
            <w:tcW w:type="dxa" w:w="50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[темы, сообщения, контент-рамка, запреты]</w:t>
            </w:r>
          </w:p>
        </w:tc>
        <w:tc>
          <w:tcPr>
            <w:tcW w:type="dxa" w:w="25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Коммуникация усиливает ритуал и сигнал, а не заменяет продукт.</w:t>
            </w:r>
          </w:p>
        </w:tc>
      </w:tr>
      <w:tr>
        <w:tc>
          <w:tcPr>
            <w:tcW w:type="dxa" w:w="15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Канал</w:t>
            </w:r>
          </w:p>
        </w:tc>
        <w:tc>
          <w:tcPr>
            <w:tcW w:type="dxa" w:w="50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[розница, маркетплейс, D2C, прямые продажи, CRM]</w:t>
            </w:r>
          </w:p>
        </w:tc>
        <w:tc>
          <w:tcPr>
            <w:tcW w:type="dxa" w:w="25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Сигнал возврата встроен в канал или имеет план внедрения.</w:t>
            </w:r>
          </w:p>
        </w:tc>
      </w:tr>
      <w:tr>
        <w:tc>
          <w:tcPr>
            <w:tcW w:type="dxa" w:w="15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Команда</w:t>
            </w:r>
          </w:p>
        </w:tc>
        <w:tc>
          <w:tcPr>
            <w:tcW w:type="dxa" w:w="50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[роли, владельцы решений, управленческий ритм]</w:t>
            </w:r>
          </w:p>
        </w:tc>
        <w:tc>
          <w:tcPr>
            <w:tcW w:type="dxa" w:w="25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Назначены владельцы архитектуры, внедрения, данных и финансов.</w:t>
            </w:r>
          </w:p>
        </w:tc>
      </w:tr>
      <w:tr>
        <w:tc>
          <w:tcPr>
            <w:tcW w:type="dxa" w:w="15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Метрики</w:t>
            </w:r>
          </w:p>
        </w:tc>
        <w:tc>
          <w:tcPr>
            <w:tcW w:type="dxa" w:w="50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[частота, повторная покупка, промо-доля, маржа, CAC, LTV]</w:t>
            </w:r>
          </w:p>
        </w:tc>
        <w:tc>
          <w:tcPr>
            <w:tcW w:type="dxa" w:w="25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Метрики описаны как проверяемые гипотезы и имеют источник данных.</w:t>
            </w:r>
          </w:p>
        </w:tc>
      </w:tr>
      <w:tr>
        <w:tc>
          <w:tcPr>
            <w:tcW w:type="dxa" w:w="15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Риски</w:t>
            </w:r>
          </w:p>
        </w:tc>
        <w:tc>
          <w:tcPr>
            <w:tcW w:type="dxa" w:w="50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[основные риски внедрения]</w:t>
            </w:r>
          </w:p>
        </w:tc>
        <w:tc>
          <w:tcPr>
            <w:tcW w:type="dxa" w:w="25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Есть владелец риска, срок реакции и стоп-линия.</w:t>
            </w:r>
          </w:p>
        </w:tc>
      </w:tr>
    </w:tbl>
    <w:p>
      <w:pPr>
        <w:keepNext/>
        <w:spacing w:before="260" w:after="100"/>
      </w:pPr>
      <w:r>
        <w:rPr>
          <w:rFonts w:ascii="Calibri" w:hAnsi="Calibri" w:eastAsia="Calibri"/>
          <w:b/>
          <w:i w:val="0"/>
          <w:color w:val="0B1F33"/>
          <w:sz w:val="28"/>
        </w:rPr>
        <w:t>3. 90-дневный план внедрения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80" w:type="dxa"/>
        <w:tblBorders>
          <w:top w:val="single" w:sz="5" w:space="0" w:color="D8CFC3"/>
          <w:left w:val="single" w:sz="5" w:space="0" w:color="D8CFC3"/>
          <w:bottom w:val="single" w:sz="5" w:space="0" w:color="D8CFC3"/>
          <w:right w:val="single" w:sz="5" w:space="0" w:color="D8CFC3"/>
          <w:insideH w:val="single" w:sz="5" w:space="0" w:color="D8CFC3"/>
          <w:insideV w:val="single" w:sz="5" w:space="0" w:color="D8CFC3"/>
        </w:tblBorders>
      </w:tblPr>
      <w:tblGrid>
        <w:gridCol w:w="1500"/>
        <w:gridCol w:w="5050"/>
        <w:gridCol w:w="2450"/>
      </w:tblGrid>
      <w:tr>
        <w:tc>
          <w:tcPr>
            <w:tcW w:type="dxa" w:w="15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Период</w:t>
            </w:r>
          </w:p>
        </w:tc>
        <w:tc>
          <w:tcPr>
            <w:tcW w:type="dxa" w:w="505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Фокус</w:t>
            </w:r>
          </w:p>
        </w:tc>
        <w:tc>
          <w:tcPr>
            <w:tcW w:type="dxa" w:w="245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Результат</w:t>
            </w:r>
          </w:p>
        </w:tc>
      </w:tr>
      <w:tr>
        <w:tc>
          <w:tcPr>
            <w:tcW w:type="dxa" w:w="15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Дни 1-30</w:t>
            </w:r>
          </w:p>
        </w:tc>
        <w:tc>
          <w:tcPr>
            <w:tcW w:type="dxa" w:w="505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Настройка: роли, данные, продуктовые ограничения, первая версия ритуала и сигнала.</w:t>
            </w:r>
          </w:p>
        </w:tc>
        <w:tc>
          <w:tcPr>
            <w:tcW w:type="dxa" w:w="245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План запуска, владельцы, метрики, риск-контур.</w:t>
            </w:r>
          </w:p>
        </w:tc>
      </w:tr>
      <w:tr>
        <w:tc>
          <w:tcPr>
            <w:tcW w:type="dxa" w:w="15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Дни 31-60</w:t>
            </w:r>
          </w:p>
        </w:tc>
        <w:tc>
          <w:tcPr>
            <w:tcW w:type="dxa" w:w="505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Пилот: проверка ритуала, сигнала, канала и первых операционных ритмов.</w:t>
            </w:r>
          </w:p>
        </w:tc>
        <w:tc>
          <w:tcPr>
            <w:tcW w:type="dxa" w:w="245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Факты пилота, первые разрывы, корректировки.</w:t>
            </w:r>
          </w:p>
        </w:tc>
      </w:tr>
      <w:tr>
        <w:tc>
          <w:tcPr>
            <w:tcW w:type="dxa" w:w="15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Дни 61-90</w:t>
            </w:r>
          </w:p>
        </w:tc>
        <w:tc>
          <w:tcPr>
            <w:tcW w:type="dxa" w:w="505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Закрепление: управленческий ритм, отчетность, правила масштабирования.</w:t>
            </w:r>
          </w:p>
        </w:tc>
        <w:tc>
          <w:tcPr>
            <w:tcW w:type="dxa" w:w="245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Решение о переходе в Сопровождение.</w:t>
            </w:r>
          </w:p>
        </w:tc>
      </w:tr>
    </w:tbl>
    <w:p>
      <w:pPr>
        <w:keepNext/>
        <w:spacing w:before="260" w:after="100"/>
      </w:pPr>
      <w:r>
        <w:rPr>
          <w:rFonts w:ascii="Calibri" w:hAnsi="Calibri" w:eastAsia="Calibri"/>
          <w:b/>
          <w:i w:val="0"/>
          <w:color w:val="0B1F33"/>
          <w:sz w:val="28"/>
        </w:rPr>
        <w:t>4. Контроль финансовых обещаний</w:t>
      </w:r>
    </w:p>
    <w:p>
      <w:pPr>
        <w:pStyle w:val="ListBullet"/>
        <w:spacing w:after="60" w:line="264" w:lineRule="auto"/>
      </w:pPr>
      <w:r>
        <w:rPr>
          <w:rFonts w:ascii="Calibri" w:hAnsi="Calibri" w:eastAsia="Calibri"/>
          <w:b w:val="0"/>
          <w:i w:val="0"/>
          <w:color w:val="111827"/>
          <w:sz w:val="19"/>
        </w:rPr>
        <w:t>Не обещать рост продаж, маржи, LTV, пожизненной ценности клиента, или снижение CAC, стоимости привлечения клиента, без отдельной финансовой модели.</w:t>
      </w:r>
    </w:p>
    <w:p>
      <w:pPr>
        <w:pStyle w:val="ListBullet"/>
        <w:spacing w:after="60" w:line="264" w:lineRule="auto"/>
      </w:pPr>
      <w:r>
        <w:rPr>
          <w:rFonts w:ascii="Calibri" w:hAnsi="Calibri" w:eastAsia="Calibri"/>
          <w:b w:val="0"/>
          <w:i w:val="0"/>
          <w:color w:val="111827"/>
          <w:sz w:val="19"/>
        </w:rPr>
        <w:t>Не считать активность внедрением, если она не связана с мотивом, сценой, ритуалом, сигналом и повторяемостью.</w:t>
      </w:r>
    </w:p>
    <w:p>
      <w:pPr>
        <w:pStyle w:val="ListBullet"/>
        <w:spacing w:after="60" w:line="264" w:lineRule="auto"/>
      </w:pPr>
      <w:r>
        <w:rPr>
          <w:rFonts w:ascii="Calibri" w:hAnsi="Calibri" w:eastAsia="Calibri"/>
          <w:b w:val="0"/>
          <w:i w:val="0"/>
          <w:color w:val="111827"/>
          <w:sz w:val="19"/>
        </w:rPr>
        <w:t>Не считать повторяемость доказанной по разовому всплеску продаж, промо-эффекту или рекламному запуску.</w:t>
      </w:r>
    </w:p>
    <w:p>
      <w:pPr>
        <w:pStyle w:val="ListBullet"/>
        <w:spacing w:after="60" w:line="264" w:lineRule="auto"/>
      </w:pPr>
      <w:r>
        <w:rPr>
          <w:rFonts w:ascii="Calibri" w:hAnsi="Calibri" w:eastAsia="Calibri"/>
          <w:b w:val="0"/>
          <w:i w:val="0"/>
          <w:color w:val="111827"/>
          <w:sz w:val="19"/>
        </w:rPr>
        <w:t>Не продавать Сопровождение, если Спринт не дал управляемую систему, владельцев и измеримые ритмы.</w:t>
      </w:r>
    </w:p>
    <w:p>
      <w:pPr>
        <w:keepNext/>
        <w:spacing w:before="260" w:after="100"/>
      </w:pPr>
      <w:r>
        <w:rPr>
          <w:rFonts w:ascii="Calibri" w:hAnsi="Calibri" w:eastAsia="Calibri"/>
          <w:b/>
          <w:i w:val="0"/>
          <w:color w:val="0B1F33"/>
          <w:sz w:val="28"/>
        </w:rPr>
        <w:t>5. Решение о переходе в Сопровождение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80" w:type="dxa"/>
        <w:tblBorders>
          <w:top w:val="single" w:sz="5" w:space="0" w:color="D8CFC3"/>
          <w:left w:val="single" w:sz="5" w:space="0" w:color="D8CFC3"/>
          <w:bottom w:val="single" w:sz="5" w:space="0" w:color="D8CFC3"/>
          <w:right w:val="single" w:sz="5" w:space="0" w:color="D8CFC3"/>
          <w:insideH w:val="single" w:sz="5" w:space="0" w:color="D8CFC3"/>
          <w:insideV w:val="single" w:sz="5" w:space="0" w:color="D8CFC3"/>
        </w:tblBorders>
      </w:tblPr>
      <w:tblGrid>
        <w:gridCol w:w="2200"/>
        <w:gridCol w:w="3800"/>
        <w:gridCol w:w="3000"/>
      </w:tblGrid>
      <w:tr>
        <w:tc>
          <w:tcPr>
            <w:tcW w:type="dxa" w:w="22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Решение</w:t>
            </w:r>
          </w:p>
        </w:tc>
        <w:tc>
          <w:tcPr>
            <w:tcW w:type="dxa" w:w="38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Когда ставится</w:t>
            </w:r>
          </w:p>
        </w:tc>
        <w:tc>
          <w:tcPr>
            <w:tcW w:type="dxa" w:w="30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Следующее действие</w:t>
            </w:r>
          </w:p>
        </w:tc>
      </w:tr>
      <w:tr>
        <w:tc>
          <w:tcPr>
            <w:tcW w:type="dxa" w:w="22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Go to Advisory, переходить в Сопровождение</w:t>
            </w:r>
          </w:p>
        </w:tc>
        <w:tc>
          <w:tcPr>
            <w:tcW w:type="dxa" w:w="38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Пилот запущен, владельцы назначены, метрики видны, риски управляемы.</w:t>
            </w:r>
          </w:p>
        </w:tc>
        <w:tc>
          <w:tcPr>
            <w:tcW w:type="dxa" w:w="30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Продавать регулярное Сопровождение.</w:t>
            </w:r>
          </w:p>
        </w:tc>
      </w:tr>
      <w:tr>
        <w:tc>
          <w:tcPr>
            <w:tcW w:type="dxa" w:w="22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Conditional Advisory, переходить при условиях</w:t>
            </w:r>
          </w:p>
        </w:tc>
        <w:tc>
          <w:tcPr>
            <w:tcW w:type="dxa" w:w="38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Есть рабочая система, но не закрыты данные, роли, продуктовые настройки или канал.</w:t>
            </w:r>
          </w:p>
        </w:tc>
        <w:tc>
          <w:tcPr>
            <w:tcW w:type="dxa" w:w="30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Закрыть условия перед регулярным Сопровождением.</w:t>
            </w:r>
          </w:p>
        </w:tc>
      </w:tr>
      <w:tr>
        <w:tc>
          <w:tcPr>
            <w:tcW w:type="dxa" w:w="22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No Advisory, не продавать Сопровождение</w:t>
            </w:r>
          </w:p>
        </w:tc>
        <w:tc>
          <w:tcPr>
            <w:tcW w:type="dxa" w:w="38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Система не внедрена, владельцев нет, клиент хочет только активности или отчетность без управления.</w:t>
            </w:r>
          </w:p>
        </w:tc>
        <w:tc>
          <w:tcPr>
            <w:tcW w:type="dxa" w:w="30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Остановить цепочку и дать честный вывод.</w:t>
            </w:r>
          </w:p>
        </w:tc>
      </w:tr>
    </w:tbl>
    <w:p>
      <w:pPr>
        <w:keepNext/>
        <w:spacing w:before="260" w:after="100"/>
      </w:pPr>
      <w:r>
        <w:rPr>
          <w:rFonts w:ascii="Calibri" w:hAnsi="Calibri" w:eastAsia="Calibri"/>
          <w:b/>
          <w:i w:val="0"/>
          <w:color w:val="0B1F33"/>
          <w:sz w:val="28"/>
        </w:rPr>
        <w:t>6. Передача в Сопровождение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80" w:type="dxa"/>
        <w:tblBorders>
          <w:top w:val="single" w:sz="4" w:space="0" w:color="D8CFC3"/>
          <w:left w:val="single" w:sz="4" w:space="0" w:color="D8CFC3"/>
          <w:bottom w:val="single" w:sz="4" w:space="0" w:color="D8CFC3"/>
          <w:right w:val="single" w:sz="4" w:space="0" w:color="D8CFC3"/>
          <w:insideH w:val="single" w:sz="4" w:space="0" w:color="D8CFC3"/>
          <w:insideV w:val="single" w:sz="4" w:space="0" w:color="D8CFC3"/>
        </w:tblBorders>
      </w:tblPr>
      <w:tblGrid>
        <w:gridCol w:w="9000"/>
      </w:tblGrid>
      <w:tr>
        <w:tc>
          <w:tcPr>
            <w:tcW w:type="dxa" w:w="9000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AF7F1"/>
          </w:tcPr>
          <w:p>
            <w:pPr>
              <w:spacing w:line="269" w:lineRule="auto"/>
            </w:pPr>
            <w:r/>
            <w:r>
              <w:rPr>
                <w:rFonts w:ascii="Calibri" w:hAnsi="Calibri" w:eastAsia="Calibri"/>
                <w:b/>
                <w:i w:val="0"/>
                <w:color w:val="0F766E"/>
                <w:sz w:val="19"/>
              </w:rPr>
              <w:t xml:space="preserve">Передается: </w:t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8"/>
              </w:rPr>
              <w:t>выбранная архитектура, 90-дневный план, владельцы, метрики, риск-контур, список запретов, текущий статус пилота и условия регулярного управленческого сопровождения.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979" w:left="1123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i w:val="0"/>
        <w:color w:val="475569"/>
        <w:sz w:val="15"/>
      </w:rPr>
      <w:t>P1D | итоговый пакет внедрения | клиентский слой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i w:val="0"/>
        <w:color w:val="475569"/>
        <w:sz w:val="16"/>
      </w:rPr>
      <w:t>C-Level Insight | Повторяемый спрос | Спринт P1D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4" w:lineRule="auto"/>
    </w:pPr>
    <w:rPr>
      <w:rFonts w:ascii="Calibri" w:hAnsi="Calibri" w:eastAsia="Calibri"/>
      <w:color w:val="11182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