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color w:val="475569"/>
          <w:sz w:val="17"/>
        </w:rPr>
        <w:t>Валерий Бирюков / C-Level Insight</w:t>
      </w:r>
    </w:p>
    <w:p>
      <w:pPr>
        <w:pStyle w:val="Title"/>
      </w:pPr>
      <w:r>
        <w:t>Шаблон. Анализ разрыва Повторяемого спроса</w:t>
      </w:r>
    </w:p>
    <w:p>
      <w:pPr>
        <w:pStyle w:val="Heading2"/>
      </w:pPr>
      <w:r>
        <w:t>1. Общая информация</w:t>
      </w:r>
    </w:p>
    <w:p>
      <w:r>
        <w:t>Бренд:</w:t>
      </w:r>
    </w:p>
    <w:p>
      <w:r>
        <w:t>Категория:</w:t>
      </w:r>
    </w:p>
    <w:p>
      <w:r>
        <w:t>Мотив-ядро:</w:t>
      </w:r>
    </w:p>
    <w:p>
      <w:r>
        <w:t>Дата диагностики:</w:t>
      </w:r>
    </w:p>
    <w:p>
      <w:r>
        <w:t>Команда:</w:t>
      </w:r>
    </w:p>
    <w:p>
      <w:pPr>
        <w:pStyle w:val="Heading2"/>
      </w:pPr>
      <w:r>
        <w:t>2. Сводка диагностики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Область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Диагностический вывод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Доказательство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Критичность</w:t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Мотив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Сцены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Сигналы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Ритуалы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SKU / продукт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Упаковка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Сообщество / UGC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Финансы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Операционная модель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</w:tbl>
    <w:p>
      <w:pPr>
        <w:pStyle w:val="Heading2"/>
      </w:pPr>
      <w:r>
        <w:t>3. Матрица "вывод -&gt; решение"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Диагностический вывод</w:t>
            </w:r>
          </w:p>
        </w:tc>
        <w:tc>
          <w:tcPr>
            <w:tcW w:type="dxa" w:w="2017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Управленческое решение</w:t>
            </w:r>
          </w:p>
        </w:tc>
        <w:tc>
          <w:tcPr>
            <w:tcW w:type="dxa" w:w="2017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017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017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Метрика</w:t>
            </w:r>
          </w:p>
        </w:tc>
      </w:tr>
      <w:tr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</w:tbl>
    <w:p>
      <w:pPr>
        <w:pStyle w:val="Heading2"/>
      </w:pPr>
      <w:r>
        <w:t>4. Карта разрывов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Разрыв</w:t>
            </w:r>
          </w:p>
        </w:tc>
        <w:tc>
          <w:tcPr>
            <w:tcW w:type="dxa" w:w="2017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Текущее состояние</w:t>
            </w:r>
          </w:p>
        </w:tc>
        <w:tc>
          <w:tcPr>
            <w:tcW w:type="dxa" w:w="2017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Целевое состояние</w:t>
            </w:r>
          </w:p>
        </w:tc>
        <w:tc>
          <w:tcPr>
            <w:tcW w:type="dxa" w:w="2017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Последствие</w:t>
            </w:r>
          </w:p>
        </w:tc>
        <w:tc>
          <w:tcPr>
            <w:tcW w:type="dxa" w:w="2017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Сложность исправления</w:t>
            </w:r>
          </w:p>
        </w:tc>
      </w:tr>
      <w:tr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  <w:t>Мотивный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  <w:t>Сценический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  <w:t>Сигнальный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  <w:t>Ритуальный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  <w:t>SKU / упаковка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  <w:t>Сообщество / UGC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  <w:t>Финансовый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  <w:t>Операционный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</w:tbl>
    <w:p>
      <w:pPr>
        <w:pStyle w:val="Heading2"/>
      </w:pPr>
      <w:r>
        <w:t>5. Приоритизация A-E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Приоритет</w:t>
            </w:r>
          </w:p>
        </w:tc>
        <w:tc>
          <w:tcPr>
            <w:tcW w:type="dxa" w:w="2017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Область</w:t>
            </w:r>
          </w:p>
        </w:tc>
        <w:tc>
          <w:tcPr>
            <w:tcW w:type="dxa" w:w="2017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Что исправляем</w:t>
            </w:r>
          </w:p>
        </w:tc>
        <w:tc>
          <w:tcPr>
            <w:tcW w:type="dxa" w:w="2017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Почему сейчас</w:t>
            </w:r>
          </w:p>
        </w:tc>
        <w:tc>
          <w:tcPr>
            <w:tcW w:type="dxa" w:w="2017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Что нельзя делать до исправления</w:t>
            </w:r>
          </w:p>
        </w:tc>
      </w:tr>
      <w:tr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  <w:t>A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  <w:t>Мотив + сцены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  <w:t>B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  <w:t>Сигнальный язык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  <w:t>C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  <w:t>Ритуалы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  <w:t>D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  <w:t>SKU и упаковка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  <w:t>E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  <w:t>Сообщество и UGC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</w:tbl>
    <w:p>
      <w:pPr>
        <w:pStyle w:val="Heading2"/>
      </w:pPr>
      <w:r>
        <w:t>6. Индексы готовности</w:t>
      </w:r>
    </w:p>
    <w:p>
      <w:r>
        <w:t>Оценка 1-5: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Индекс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Оценка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Комментарий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Решение</w:t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Motive Clarity Index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Scene Fit Index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Signal Consistency Index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Ritual Readiness Index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SKU / Packaging Alignment Index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</w:tbl>
    <w:p>
      <w:r>
        <w:t>Итоговая готовность:</w:t>
      </w:r>
    </w:p>
    <w:p>
      <w:pPr>
        <w:pStyle w:val="ListBullet"/>
      </w:pPr>
      <w:r>
        <w:t>[ ] Можно внедрять</w:t>
      </w:r>
    </w:p>
    <w:p>
      <w:pPr>
        <w:pStyle w:val="ListBullet"/>
      </w:pPr>
      <w:r>
        <w:t>[ ] Можно внедрять ограниченно</w:t>
      </w:r>
    </w:p>
    <w:p>
      <w:pPr>
        <w:pStyle w:val="ListBullet"/>
      </w:pPr>
      <w:r>
        <w:t>[ ] Сначала закрыть базовые разрывы</w:t>
      </w:r>
    </w:p>
    <w:p>
      <w:pPr>
        <w:pStyle w:val="Heading2"/>
      </w:pPr>
      <w:r>
        <w:t>7. План 30/60/90</w:t>
      </w:r>
    </w:p>
    <w:p>
      <w:pPr>
        <w:pStyle w:val="Heading3"/>
      </w:pPr>
      <w:r>
        <w:t>0-30 дней: мотив и сцены</w:t>
      </w:r>
    </w:p>
    <w:p>
      <w:r>
        <w:t>Цель:</w:t>
      </w:r>
    </w:p>
    <w:p>
      <w:r>
        <w:t>Решения:</w:t>
      </w:r>
    </w:p>
    <w:p>
      <w:r>
        <w:t>1.</w:t>
      </w:r>
    </w:p>
    <w:p>
      <w:r>
        <w:t>2.</w:t>
      </w:r>
    </w:p>
    <w:p>
      <w:r>
        <w:t>3.</w:t>
      </w:r>
    </w:p>
    <w:p>
      <w:r>
        <w:t>Метрики:</w:t>
      </w:r>
    </w:p>
    <w:p>
      <w:r>
        <w:t>Что нельзя делать:</w:t>
      </w:r>
    </w:p>
    <w:p>
      <w:pPr>
        <w:pStyle w:val="Heading3"/>
      </w:pPr>
      <w:r>
        <w:t>30-60 дней: жесткие разрывы</w:t>
      </w:r>
    </w:p>
    <w:p>
      <w:r>
        <w:t>Цель:</w:t>
      </w:r>
    </w:p>
    <w:p>
      <w:r>
        <w:t>Решения:</w:t>
      </w:r>
    </w:p>
    <w:p>
      <w:r>
        <w:t>1.</w:t>
      </w:r>
    </w:p>
    <w:p>
      <w:r>
        <w:t>2.</w:t>
      </w:r>
    </w:p>
    <w:p>
      <w:r>
        <w:t>3.</w:t>
      </w:r>
    </w:p>
    <w:p>
      <w:r>
        <w:t>Метрики:</w:t>
      </w:r>
    </w:p>
    <w:p>
      <w:r>
        <w:t>Что нельзя делать:</w:t>
      </w:r>
    </w:p>
    <w:p>
      <w:pPr>
        <w:pStyle w:val="Heading3"/>
      </w:pPr>
      <w:r>
        <w:t>60-90 дней: SKU и упаковка</w:t>
      </w:r>
    </w:p>
    <w:p>
      <w:r>
        <w:t>Цель:</w:t>
      </w:r>
    </w:p>
    <w:p>
      <w:r>
        <w:t>Решения:</w:t>
      </w:r>
    </w:p>
    <w:p>
      <w:r>
        <w:t>1.</w:t>
      </w:r>
    </w:p>
    <w:p>
      <w:r>
        <w:t>2.</w:t>
      </w:r>
    </w:p>
    <w:p>
      <w:r>
        <w:t>3.</w:t>
      </w:r>
    </w:p>
    <w:p>
      <w:r>
        <w:t>Метрики:</w:t>
      </w:r>
    </w:p>
    <w:p>
      <w:r>
        <w:t>Что нельзя делать:</w:t>
      </w:r>
    </w:p>
    <w:p>
      <w:pPr>
        <w:pStyle w:val="Heading2"/>
      </w:pPr>
      <w:r>
        <w:t>8. Быстрые решения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Решение</w:t>
            </w:r>
          </w:p>
        </w:tc>
        <w:tc>
          <w:tcPr>
            <w:tcW w:type="dxa" w:w="2017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Эффект</w:t>
            </w:r>
          </w:p>
        </w:tc>
        <w:tc>
          <w:tcPr>
            <w:tcW w:type="dxa" w:w="2017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Риск</w:t>
            </w:r>
          </w:p>
        </w:tc>
        <w:tc>
          <w:tcPr>
            <w:tcW w:type="dxa" w:w="2017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017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Срок</w:t>
            </w:r>
          </w:p>
        </w:tc>
      </w:tr>
      <w:tr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</w:tbl>
    <w:p>
      <w:pPr>
        <w:pStyle w:val="Heading2"/>
      </w:pPr>
      <w:r>
        <w:t>9. Запрещенные действия</w:t>
      </w:r>
    </w:p>
    <w:p>
      <w:r>
        <w:t>Что нельзя начинать до закрытия базовых разрывов:</w:t>
      </w:r>
    </w:p>
    <w:p>
      <w:r>
        <w:t>1.</w:t>
      </w:r>
    </w:p>
    <w:p>
      <w:r>
        <w:t>2.</w:t>
      </w:r>
    </w:p>
    <w:p>
      <w:r>
        <w:t>3.</w:t>
      </w:r>
    </w:p>
    <w:p>
      <w:r>
        <w:t>Почему:</w:t>
      </w:r>
    </w:p>
    <w:p>
      <w:pPr>
        <w:pStyle w:val="Heading2"/>
      </w:pPr>
      <w:r>
        <w:t>10. Типовые ошибки, которые нужно предотвратить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Ошибка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Есть риск?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Как предотвратить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Красим фасад, не трогая конструкцию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Сообщество без норм и ритуалов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Ритуалы только на бумаге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Сигналы меняются при каждом креативе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SKU-хаос после диагностики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</w:tbl>
    <w:p>
      <w:pPr>
        <w:pStyle w:val="Heading2"/>
      </w:pPr>
      <w:r>
        <w:t>11. C-level summary</w:t>
      </w:r>
    </w:p>
    <w:p>
      <w:r>
        <w:t>Главные разрывы:</w:t>
      </w:r>
    </w:p>
    <w:p>
      <w:r>
        <w:t>1.</w:t>
      </w:r>
    </w:p>
    <w:p>
      <w:r>
        <w:t>2.</w:t>
      </w:r>
    </w:p>
    <w:p>
      <w:r>
        <w:t>3.</w:t>
      </w:r>
    </w:p>
    <w:p>
      <w:r>
        <w:t>Что делаем в первые 30 дней:</w:t>
      </w:r>
    </w:p>
    <w:p>
      <w:r>
        <w:t>Что даст быстрый эффект:</w:t>
      </w:r>
    </w:p>
    <w:p>
      <w:r>
        <w:t>Что требует решения C-level:</w:t>
      </w:r>
    </w:p>
    <w:p>
      <w:r>
        <w:t>Решение:</w:t>
      </w:r>
    </w:p>
    <w:p>
      <w:pPr>
        <w:pStyle w:val="ListBullet"/>
      </w:pPr>
      <w:r>
        <w:t>[ ] Continue to operating model</w:t>
      </w:r>
    </w:p>
    <w:p>
      <w:pPr>
        <w:pStyle w:val="ListBullet"/>
      </w:pPr>
      <w:r>
        <w:t>[ ] Fix gaps first</w:t>
      </w:r>
    </w:p>
    <w:p>
      <w:pPr>
        <w:pStyle w:val="ListBullet"/>
      </w:pPr>
      <w:r>
        <w:t>[ ] Pause / re-diagnose</w:t>
      </w:r>
    </w:p>
    <w:sectPr w:rsidR="00FC693F" w:rsidRPr="0006063C" w:rsidSect="00034616">
      <w:pgSz w:w="12240" w:h="15840"/>
      <w:pgMar w:top="1020" w:right="102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1F3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B46A3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F766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B1F3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