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12-месячная дорожная карта внедрения</w:t>
      </w:r>
    </w:p>
    <w:p>
      <w:pPr>
        <w:pStyle w:val="Heading2"/>
      </w:pPr>
      <w:r>
        <w:t>1. Общая информация</w:t>
      </w:r>
    </w:p>
    <w:p>
      <w:r>
        <w:t>Компания:</w:t>
      </w:r>
    </w:p>
    <w:p>
      <w:r>
        <w:t>Бренд:</w:t>
      </w:r>
    </w:p>
    <w:p>
      <w:r>
        <w:t>Категория:</w:t>
      </w:r>
    </w:p>
    <w:p>
      <w:r>
        <w:t>Мотив-ядро:</w:t>
      </w:r>
    </w:p>
    <w:p>
      <w:r>
        <w:t>Главная сцена:</w:t>
      </w:r>
    </w:p>
    <w:p>
      <w:r>
        <w:t>Ключевой ритуал:</w:t>
      </w:r>
    </w:p>
    <w:p>
      <w:r>
        <w:t>Дата старта:</w:t>
      </w:r>
    </w:p>
    <w:p>
      <w:r>
        <w:t>C-level sponsor:</w:t>
      </w:r>
    </w:p>
    <w:p>
      <w:r>
        <w:t>Повторяемый спрос CMO / project owner:</w:t>
      </w:r>
    </w:p>
    <w:p>
      <w:pPr>
        <w:pStyle w:val="Heading2"/>
      </w:pPr>
      <w:r>
        <w:t>2. Принцип последовательности</w:t>
      </w:r>
    </w:p>
    <w:p>
      <w:r>
        <w:t>Что нельзя делать до фиксации мотива:</w:t>
      </w:r>
    </w:p>
    <w:p>
      <w:r>
        <w:t>1.</w:t>
      </w:r>
    </w:p>
    <w:p>
      <w:r>
        <w:t>2.</w:t>
      </w:r>
    </w:p>
    <w:p>
      <w:r>
        <w:t>3.</w:t>
      </w:r>
    </w:p>
    <w:p>
      <w:r>
        <w:t>Что нельзя делать до закрепления сцен:</w:t>
      </w:r>
    </w:p>
    <w:p>
      <w:r>
        <w:t>1.</w:t>
      </w:r>
    </w:p>
    <w:p>
      <w:r>
        <w:t>2.</w:t>
      </w:r>
    </w:p>
    <w:p>
      <w:r>
        <w:t>3.</w:t>
      </w:r>
    </w:p>
    <w:p>
      <w:r>
        <w:t>Что нельзя делать до проверки ритуалов: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3. Roadmap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Главный результат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0-30 дней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Мотив -&gt; язык -&gt; сигналы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30-90 дней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Сцены -&gt; ритуалы -&gt; контент -&gt; UGC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90-180 дней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SKU -&gt; упаковка -&gt; UI/UX ритуалов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180-365 дней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-&gt; UGC-система -&gt; операции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4. Этап 1: 0-30 дней</w:t>
      </w:r>
    </w:p>
    <w:p>
      <w:r>
        <w:t>Цель:</w:t>
      </w:r>
    </w:p>
    <w:p>
      <w:r>
        <w:t>Ключевые действия: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Создать сигнальный язык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Создать языковую систему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Сделать прототип упаковки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Создать 10 сигнальных элементов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playbook мотива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Контрольные точки: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Контрольная точка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Критерий готовности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-&gt; язык завершен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Сигнальный язык утвержден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Прототип упаковки готов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KPI: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Signal Recognition baseline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Motive Resonance baseline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NLU / соответствие языка мотиву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Decision gate:</w:t>
      </w:r>
    </w:p>
    <w:p>
      <w:pPr>
        <w:pStyle w:val="ListBullet"/>
      </w:pPr>
      <w:r>
        <w:t>[ ] Переходим к этапу 2</w:t>
      </w:r>
    </w:p>
    <w:p>
      <w:pPr>
        <w:pStyle w:val="ListBullet"/>
      </w:pPr>
      <w:r>
        <w:t>[ ] Дорабатываем мотив/язык/сигналы</w:t>
      </w:r>
    </w:p>
    <w:p>
      <w:pPr>
        <w:pStyle w:val="ListBullet"/>
      </w:pPr>
      <w:r>
        <w:t>[ ] Пауза</w:t>
      </w:r>
    </w:p>
    <w:p>
      <w:pPr>
        <w:pStyle w:val="Heading2"/>
      </w:pPr>
      <w:r>
        <w:t>5. Этап 2: 30-90 дней</w:t>
      </w:r>
    </w:p>
    <w:p>
      <w:r>
        <w:t>Цель:</w:t>
      </w:r>
    </w:p>
    <w:p>
      <w:r>
        <w:t>Ключевые действия: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Определить ядерные 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Определить расширяющие 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Создать 2-3 ритуала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Построить контент-систему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Настроить UGC-механики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Запустить циклы 7-14-28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Создать календарь сцен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Контрольные точки: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Контрольная точка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Критерий готовности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Ядерная сцена закреплена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Ритуалы функционируют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 появился естественно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KPI: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RCR / Ritual Completion Rate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SPS / Scene Penetration Score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UGC Velocity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Decision gate:</w:t>
      </w:r>
    </w:p>
    <w:p>
      <w:pPr>
        <w:pStyle w:val="ListBullet"/>
      </w:pPr>
      <w:r>
        <w:t>[ ] Переходим к этапу 3</w:t>
      </w:r>
    </w:p>
    <w:p>
      <w:pPr>
        <w:pStyle w:val="ListBullet"/>
      </w:pPr>
      <w:r>
        <w:t>[ ] Дорабатываем сцены/ритуалы</w:t>
      </w:r>
    </w:p>
    <w:p>
      <w:pPr>
        <w:pStyle w:val="ListBullet"/>
      </w:pPr>
      <w:r>
        <w:t>[ ] Пауза</w:t>
      </w:r>
    </w:p>
    <w:p>
      <w:pPr>
        <w:pStyle w:val="Heading2"/>
      </w:pPr>
      <w:r>
        <w:t>6. Этап 3: 90-180 дней</w:t>
      </w:r>
    </w:p>
    <w:p>
      <w:r>
        <w:t>Цель:</w:t>
      </w:r>
    </w:p>
    <w:p>
      <w:r>
        <w:t>Ключевые действия: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Разделить SKU на усилители/нейтралы/разрушители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Убрать разрушители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Создать упаковочные паттерны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Внедрить ритуальные UI-шаги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Внедрить onboarding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Обновить карточки товара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Контрольные точки: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Контрольная точка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Критерий готовности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SKU-реформа завершена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 обновлена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Карточки товара отражают сцену и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KPI: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SKU / Scene Consistency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Signal -&gt; Conversion Ratio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UGC на SKU-уровне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Decision gate:</w:t>
      </w:r>
    </w:p>
    <w:p>
      <w:pPr>
        <w:pStyle w:val="ListBullet"/>
      </w:pPr>
      <w:r>
        <w:t>[ ] Переходим к этапу 4</w:t>
      </w:r>
    </w:p>
    <w:p>
      <w:pPr>
        <w:pStyle w:val="ListBullet"/>
      </w:pPr>
      <w:r>
        <w:t>[ ] Дорабатываем SKU/упаковку</w:t>
      </w:r>
    </w:p>
    <w:p>
      <w:pPr>
        <w:pStyle w:val="ListBullet"/>
      </w:pPr>
      <w:r>
        <w:t>[ ] Пауза</w:t>
      </w:r>
    </w:p>
    <w:p>
      <w:pPr>
        <w:pStyle w:val="Heading2"/>
      </w:pPr>
      <w:r>
        <w:t>7. Этап 4: 180-365 дней</w:t>
      </w:r>
    </w:p>
    <w:p>
      <w:r>
        <w:t>Цель:</w:t>
      </w:r>
    </w:p>
    <w:p>
      <w:r>
        <w:t>Ключевые действия: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Создать операционную модель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Запустить сообщество по правилам сообщества потребления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Включить амбассадоров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Настроить UGC-автоматизацию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Создать горизонтальные связи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Ввести метрики зрелости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Контрольные точки: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Контрольная точка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Критерий готовности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работает без ручного постинга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RCR и SPS стабилизировались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Появились лидеры сообщества потребления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KPI: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Community Density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Advocacy Score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Повторяемый спрос Saturation Risk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Decision gate:</w:t>
      </w:r>
    </w:p>
    <w:p>
      <w:pPr>
        <w:pStyle w:val="ListBullet"/>
      </w:pPr>
      <w:r>
        <w:t>[ ] Масштабировать</w:t>
      </w:r>
    </w:p>
    <w:p>
      <w:pPr>
        <w:pStyle w:val="ListBullet"/>
      </w:pPr>
      <w:r>
        <w:t>[ ] Доработать операционную модель</w:t>
      </w:r>
    </w:p>
    <w:p>
      <w:pPr>
        <w:pStyle w:val="ListBullet"/>
      </w:pPr>
      <w:r>
        <w:t>[ ] Пересмотреть стратегию</w:t>
      </w:r>
    </w:p>
    <w:p>
      <w:pPr>
        <w:pStyle w:val="Heading2"/>
      </w:pPr>
      <w:r>
        <w:t>8. Сценарии эффекта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144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144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LTV</w:t>
            </w:r>
          </w:p>
        </w:tc>
        <w:tc>
          <w:tcPr>
            <w:tcW w:type="dxa" w:w="144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CAC</w:t>
            </w:r>
          </w:p>
        </w:tc>
        <w:tc>
          <w:tcPr>
            <w:tcW w:type="dxa" w:w="144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UGC</w:t>
            </w:r>
          </w:p>
        </w:tc>
        <w:tc>
          <w:tcPr>
            <w:tcW w:type="dxa" w:w="144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ROMI</w:t>
            </w:r>
          </w:p>
        </w:tc>
        <w:tc>
          <w:tcPr>
            <w:tcW w:type="dxa" w:w="144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  <w:t>Консервативный</w:t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  <w:t>Без SKU-реформы</w:t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  <w:t>Реалистичный</w:t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  <w:t>70% модели</w:t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  <w:t>Агрессивный</w:t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  <w:t>Полная модель</w:t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44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9. C-level one-pager</w:t>
      </w:r>
    </w:p>
    <w:p>
      <w:r>
        <w:t>Фокус первого года:</w:t>
      </w:r>
    </w:p>
    <w:p>
      <w:r>
        <w:t>Q1 результат:</w:t>
      </w:r>
    </w:p>
    <w:p>
      <w:r>
        <w:t>Q2 результат:</w:t>
      </w:r>
    </w:p>
    <w:p>
      <w:r>
        <w:t>Q3 результат:</w:t>
      </w:r>
    </w:p>
    <w:p>
      <w:r>
        <w:t>Q4 результат:</w:t>
      </w:r>
    </w:p>
    <w:p>
      <w:r>
        <w:t>Ожидаемый эффект:</w:t>
      </w:r>
    </w:p>
    <w:p>
      <w:r>
        <w:t>Главные риски:</w:t>
      </w:r>
    </w:p>
    <w:p>
      <w:r>
        <w:t>Решения, которые требуются от C-level:</w:t>
      </w:r>
    </w:p>
    <w:p>
      <w:pPr>
        <w:pStyle w:val="Heading2"/>
      </w:pPr>
      <w:r>
        <w:t>10. Dashboard первого года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Q1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Q2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Q3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Q4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Signal Recognition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Motive Resonance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RCR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SPS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UGC Velocity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SKU Consistency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Conversion Uplift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Community Density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Advocacy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LTV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CAC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ROMI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11. Риски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