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B46A3C"/>
          <w:sz w:val="17"/>
        </w:rPr>
        <w:t>C-Level Insight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1F33"/>
          <w:sz w:val="44"/>
        </w:rPr>
        <w:t>Повторяемый спрос</w:t>
      </w:r>
    </w:p>
    <w:p>
      <w:pPr>
        <w:spacing w:after="200"/>
      </w:pPr>
      <w:r>
        <w:rPr>
          <w:rFonts w:ascii="Calibri" w:hAnsi="Calibri" w:eastAsia="Calibri"/>
          <w:b/>
          <w:i w:val="0"/>
          <w:color w:val="0F766E"/>
          <w:sz w:val="22"/>
        </w:rPr>
        <w:t>Сопровождение: итоговый пакет управления v2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9000"/>
      </w:tblGrid>
      <w:tr>
        <w:tc>
          <w:tcPr>
            <w:tcW w:type="dxa" w:w="900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3EBDD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B46A3C"/>
                <w:sz w:val="19"/>
              </w:rPr>
              <w:t xml:space="preserve">Назначение: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Этот документ фиксирует четвертый платный этап. Сопровождение удерживает внедренную архитектуру повторяемого спроса в регулярном управлении клиента: решения, метрики, риски, корректировки и финансовую дисциплину.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1. Что сопровождается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1700"/>
        <w:gridCol w:w="4300"/>
        <w:gridCol w:w="3000"/>
      </w:tblGrid>
      <w:tr>
        <w:tc>
          <w:tcPr>
            <w:tcW w:type="dxa" w:w="17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Объект</w:t>
            </w:r>
          </w:p>
        </w:tc>
        <w:tc>
          <w:tcPr>
            <w:tcW w:type="dxa" w:w="43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фиксируется</w:t>
            </w:r>
          </w:p>
        </w:tc>
        <w:tc>
          <w:tcPr>
            <w:tcW w:type="dxa" w:w="30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Критерий наличия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Архитектура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мотив -&gt; сцена -&gt; ритуал -&gt; сигнал -&gt; повторяемость -&gt; финансовый эффект</w:t>
            </w:r>
          </w:p>
        </w:tc>
        <w:tc>
          <w:tcPr>
            <w:tcW w:type="dxa" w:w="30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Архитектура утверждена после Сессии и переведена в Спринте в рабочий план.</w:t>
            </w:r>
          </w:p>
        </w:tc>
      </w:tr>
      <w:tr>
        <w:tc>
          <w:tcPr>
            <w:tcW w:type="dxa" w:w="1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Пилот / внедрение</w:t>
            </w:r>
          </w:p>
        </w:tc>
        <w:tc>
          <w:tcPr>
            <w:tcW w:type="dxa" w:w="43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запущенные или подготовленные элементы продукта, канала, коммуникации и данных</w:t>
            </w:r>
          </w:p>
        </w:tc>
        <w:tc>
          <w:tcPr>
            <w:tcW w:type="dxa" w:w="30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Есть владельцы, сроки, baseline, базовая точка, и управленческий ритм.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Метрики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повторная покупка, частота, промо-доля, маржа, LTV, пожизненная ценность клиента, CAC, стоимость привлечения клиента</w:t>
            </w:r>
          </w:p>
        </w:tc>
        <w:tc>
          <w:tcPr>
            <w:tcW w:type="dxa" w:w="30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Метрики имеют источник данных и не трактуются как гарантия результата.</w:t>
            </w:r>
          </w:p>
        </w:tc>
      </w:tr>
      <w:tr>
        <w:tc>
          <w:tcPr>
            <w:tcW w:type="dxa" w:w="1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Риски</w:t>
            </w:r>
          </w:p>
        </w:tc>
        <w:tc>
          <w:tcPr>
            <w:tcW w:type="dxa" w:w="43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разрывы продукта, канала, сервиса, команды, данных и экономики</w:t>
            </w:r>
          </w:p>
        </w:tc>
        <w:tc>
          <w:tcPr>
            <w:tcW w:type="dxa" w:w="30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У каждого риска есть владелец, срок реакции и решение.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2. Ритм сопровождения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100"/>
        <w:gridCol w:w="4700"/>
        <w:gridCol w:w="2200"/>
      </w:tblGrid>
      <w:tr>
        <w:tc>
          <w:tcPr>
            <w:tcW w:type="dxa" w:w="21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Ритм</w:t>
            </w:r>
          </w:p>
        </w:tc>
        <w:tc>
          <w:tcPr>
            <w:tcW w:type="dxa" w:w="47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Содержание</w:t>
            </w:r>
          </w:p>
        </w:tc>
        <w:tc>
          <w:tcPr>
            <w:tcW w:type="dxa" w:w="22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Выход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Еженедельный короткий контроль</w:t>
            </w:r>
          </w:p>
        </w:tc>
        <w:tc>
          <w:tcPr>
            <w:tcW w:type="dxa" w:w="4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статус задач, блокеры, решения владельцев</w:t>
            </w:r>
          </w:p>
        </w:tc>
        <w:tc>
          <w:tcPr>
            <w:tcW w:type="dxa" w:w="2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обновленный трекер решений и рисков</w:t>
            </w:r>
          </w:p>
        </w:tc>
      </w:tr>
      <w:tr>
        <w:tc>
          <w:tcPr>
            <w:tcW w:type="dxa" w:w="21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Двухнедельный review, обзор</w:t>
            </w:r>
          </w:p>
        </w:tc>
        <w:tc>
          <w:tcPr>
            <w:tcW w:type="dxa" w:w="4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поведение, сцены, ритуалы, сигнал, канал, данные</w:t>
            </w:r>
          </w:p>
        </w:tc>
        <w:tc>
          <w:tcPr>
            <w:tcW w:type="dxa" w:w="22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корректировки архитектуры без изменения ядра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Ежемесячный C-level review, управленческий обзор</w:t>
            </w:r>
          </w:p>
        </w:tc>
        <w:tc>
          <w:tcPr>
            <w:tcW w:type="dxa" w:w="4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метрики, финансовые гипотезы, ресурсные решения, риски масштабирования</w:t>
            </w:r>
          </w:p>
        </w:tc>
        <w:tc>
          <w:tcPr>
            <w:tcW w:type="dxa" w:w="2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решение: продолжать / донастроить / остановить</w:t>
            </w:r>
          </w:p>
        </w:tc>
      </w:tr>
      <w:tr>
        <w:tc>
          <w:tcPr>
            <w:tcW w:type="dxa" w:w="21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Квартальный gate</w:t>
            </w:r>
          </w:p>
        </w:tc>
        <w:tc>
          <w:tcPr>
            <w:tcW w:type="dxa" w:w="4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проверка объекта сопровождения, ценности, управляемости и следующего горизонта</w:t>
            </w:r>
          </w:p>
        </w:tc>
        <w:tc>
          <w:tcPr>
            <w:tcW w:type="dxa" w:w="22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продление, изменение формата или завершение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3. Что делает консультант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Удерживает связь решений с утвержденным мотивом-ядром, сценами, ритуалом, сигналом и финансовым эффектом.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Помогает команде клиента отличать управляемую повторяемость от активности, промо-всплеска или контентного шума.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Фиксирует риски и стоп-линии до того, как проект распадается на разрозненные задачи.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заменяет CMO, коммерческого директора, продуктовую команду, CRM-команду или подрядчиков клиента.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обещает финансовый результат без данных, baseline и отдельной модели.</w:t>
      </w:r>
    </w:p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4. Типовой цикл одного месяца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1100"/>
        <w:gridCol w:w="5200"/>
        <w:gridCol w:w="2700"/>
      </w:tblGrid>
      <w:tr>
        <w:tc>
          <w:tcPr>
            <w:tcW w:type="dxa" w:w="11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Неделя</w:t>
            </w:r>
          </w:p>
        </w:tc>
        <w:tc>
          <w:tcPr>
            <w:tcW w:type="dxa" w:w="52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Фокус</w:t>
            </w:r>
          </w:p>
        </w:tc>
        <w:tc>
          <w:tcPr>
            <w:tcW w:type="dxa" w:w="27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Решение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1</w:t>
            </w:r>
          </w:p>
        </w:tc>
        <w:tc>
          <w:tcPr>
            <w:tcW w:type="dxa" w:w="5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Снять статус внедрения: что сделано, что заблокировано, какие решения нужны.</w:t>
            </w:r>
          </w:p>
        </w:tc>
        <w:tc>
          <w:tcPr>
            <w:tcW w:type="dxa" w:w="2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Обновить трекер задач, рисков и решений.</w:t>
            </w:r>
          </w:p>
        </w:tc>
      </w:tr>
      <w:tr>
        <w:tc>
          <w:tcPr>
            <w:tcW w:type="dxa" w:w="11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2</w:t>
            </w:r>
          </w:p>
        </w:tc>
        <w:tc>
          <w:tcPr>
            <w:tcW w:type="dxa" w:w="52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Проверить поведение: сцены, ритуалы, сигнал, канал, первые данные.</w:t>
            </w:r>
          </w:p>
        </w:tc>
        <w:tc>
          <w:tcPr>
            <w:tcW w:type="dxa" w:w="2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Сформулировать корректировки без пересборки ядра.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3</w:t>
            </w:r>
          </w:p>
        </w:tc>
        <w:tc>
          <w:tcPr>
            <w:tcW w:type="dxa" w:w="5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Проверить экономику: маржа, промо-доля, CAC, стоимость привлечения клиента, LTV, пожизненная ценность клиента.</w:t>
            </w:r>
          </w:p>
        </w:tc>
        <w:tc>
          <w:tcPr>
            <w:tcW w:type="dxa" w:w="2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Зафиксировать финансовые гипотезы и ограничения.</w:t>
            </w:r>
          </w:p>
        </w:tc>
      </w:tr>
      <w:tr>
        <w:tc>
          <w:tcPr>
            <w:tcW w:type="dxa" w:w="11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4</w:t>
            </w:r>
          </w:p>
        </w:tc>
        <w:tc>
          <w:tcPr>
            <w:tcW w:type="dxa" w:w="52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Провести C-level review и принять решение по следующему циклу.</w:t>
            </w:r>
          </w:p>
        </w:tc>
        <w:tc>
          <w:tcPr>
            <w:tcW w:type="dxa" w:w="2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Продолжать, донастроить, сузить фокус или остановить.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5. Итог месяца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500"/>
        <w:gridCol w:w="6500"/>
      </w:tblGrid>
      <w:tr>
        <w:tc>
          <w:tcPr>
            <w:tcW w:type="dxa" w:w="25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Поле</w:t>
            </w:r>
          </w:p>
        </w:tc>
        <w:tc>
          <w:tcPr>
            <w:tcW w:type="dxa" w:w="65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Фиксация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Статус архитектуры</w:t>
            </w:r>
          </w:p>
        </w:tc>
        <w:tc>
          <w:tcPr>
            <w:tcW w:type="dxa" w:w="6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[сохраняется / требует корректировки / потеряла управляемость]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Поведенческие факты</w:t>
            </w:r>
          </w:p>
        </w:tc>
        <w:tc>
          <w:tcPr>
            <w:tcW w:type="dxa" w:w="6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[что изменилось в повторяемости, сценах, ритуалах и сигнале]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Финансовые факты</w:t>
            </w:r>
          </w:p>
        </w:tc>
        <w:tc>
          <w:tcPr>
            <w:tcW w:type="dxa" w:w="6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[что видно по марже, промо-доле, CAC, LTV и другим метрикам]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Риски</w:t>
            </w:r>
          </w:p>
        </w:tc>
        <w:tc>
          <w:tcPr>
            <w:tcW w:type="dxa" w:w="6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[новые, закрытые, критические]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Решения C-level</w:t>
            </w:r>
          </w:p>
        </w:tc>
        <w:tc>
          <w:tcPr>
            <w:tcW w:type="dxa" w:w="6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[что утверждено, что остановлено, кому поручено]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Gate-статус</w:t>
            </w:r>
          </w:p>
        </w:tc>
        <w:tc>
          <w:tcPr>
            <w:tcW w:type="dxa" w:w="6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[Continue / Conditional / Exit / Stop]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6. Стоп-линии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Если клиент просит сопровождать только контент, трафик, акции или подрядчиков, это не Сопровождение Повторяемого спроса.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Если нет владельца внедрения внутри клиента, сопровождение превращается в внешний контроль без права решения.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Если метрики не собираются, финансовые выводы переводятся в статус гипотез, а не обещаний.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Если архитектура перестала быть управляемой, следующий шаг - донастройка, а не автоматическое продление.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5"/>
      </w:rPr>
      <w:t>P1E | итоговый пакет управления | клиентский слой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C-Level Insight | Повторяемый спрос | Сопровождение P1E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