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B46A3C"/>
          <w:sz w:val="17"/>
        </w:rPr>
        <w:t>C-Level Insight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1F33"/>
          <w:sz w:val="44"/>
        </w:rPr>
        <w:t>Повторяемый спрос</w:t>
      </w:r>
    </w:p>
    <w:p>
      <w:pPr>
        <w:spacing w:after="200"/>
      </w:pPr>
      <w:r>
        <w:rPr>
          <w:rFonts w:ascii="Calibri" w:hAnsi="Calibri" w:eastAsia="Calibri"/>
          <w:b/>
          <w:i w:val="0"/>
          <w:color w:val="0F766E"/>
          <w:sz w:val="22"/>
        </w:rPr>
        <w:t>Gate-протокол Сопровождения v2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9000"/>
      </w:tblGrid>
      <w:tr>
        <w:tc>
          <w:tcPr>
            <w:tcW w:type="dxa" w:w="900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3EBDD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B46A3C"/>
                <w:sz w:val="19"/>
              </w:rPr>
              <w:t xml:space="preserve">Принцип: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Сопровождение продолжается только пока есть объект управления и управленческая ценность: архитектура жива, решения принимаются, метрики собираются, риски управляются, команда клиента действует.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1. Gate-вопросы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1250"/>
        <w:gridCol w:w="2450"/>
        <w:gridCol w:w="3350"/>
        <w:gridCol w:w="1950"/>
      </w:tblGrid>
      <w:tr>
        <w:tc>
          <w:tcPr>
            <w:tcW w:type="dxa" w:w="12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Gate</w:t>
            </w:r>
          </w:p>
        </w:tc>
        <w:tc>
          <w:tcPr>
            <w:tcW w:type="dxa" w:w="24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Вопрос</w:t>
            </w:r>
          </w:p>
        </w:tc>
        <w:tc>
          <w:tcPr>
            <w:tcW w:type="dxa" w:w="33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Допуск</w:t>
            </w:r>
          </w:p>
        </w:tc>
        <w:tc>
          <w:tcPr>
            <w:tcW w:type="dxa" w:w="195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Стоп-фактор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A1. Объект</w:t>
            </w:r>
          </w:p>
        </w:tc>
        <w:tc>
          <w:tcPr>
            <w:tcW w:type="dxa" w:w="24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Есть ли что сопровождать?</w:t>
            </w:r>
          </w:p>
        </w:tc>
        <w:tc>
          <w:tcPr>
            <w:tcW w:type="dxa" w:w="33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Архитектура внедряется или масштабируется.</w:t>
            </w:r>
          </w:p>
        </w:tc>
        <w:tc>
          <w:tcPr>
            <w:tcW w:type="dxa" w:w="19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Есть только набор маркетинговых задач.</w:t>
            </w:r>
          </w:p>
        </w:tc>
      </w:tr>
      <w:tr>
        <w:tc>
          <w:tcPr>
            <w:tcW w:type="dxa" w:w="12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A2. Владельцы</w:t>
            </w:r>
          </w:p>
        </w:tc>
        <w:tc>
          <w:tcPr>
            <w:tcW w:type="dxa" w:w="24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Есть ли управленческие владельцы?</w:t>
            </w:r>
          </w:p>
        </w:tc>
        <w:tc>
          <w:tcPr>
            <w:tcW w:type="dxa" w:w="33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Назначены sponsor, project owner и владельцы контуров.</w:t>
            </w:r>
          </w:p>
        </w:tc>
        <w:tc>
          <w:tcPr>
            <w:tcW w:type="dxa" w:w="19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Клиент перекладывает управление на консультанта.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A3. Поведение</w:t>
            </w:r>
          </w:p>
        </w:tc>
        <w:tc>
          <w:tcPr>
            <w:tcW w:type="dxa" w:w="24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Видны ли признаки повторяемости?</w:t>
            </w:r>
          </w:p>
        </w:tc>
        <w:tc>
          <w:tcPr>
            <w:tcW w:type="dxa" w:w="33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Есть факты по сценам, ритуалу, сигналу или циклам возврата.</w:t>
            </w:r>
          </w:p>
        </w:tc>
        <w:tc>
          <w:tcPr>
            <w:tcW w:type="dxa" w:w="19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Есть активность, но нет поведения.</w:t>
            </w:r>
          </w:p>
        </w:tc>
      </w:tr>
      <w:tr>
        <w:tc>
          <w:tcPr>
            <w:tcW w:type="dxa" w:w="12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A4. Данные</w:t>
            </w:r>
          </w:p>
        </w:tc>
        <w:tc>
          <w:tcPr>
            <w:tcW w:type="dxa" w:w="24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Можно ли видеть эффект?</w:t>
            </w:r>
          </w:p>
        </w:tc>
        <w:tc>
          <w:tcPr>
            <w:tcW w:type="dxa" w:w="33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Есть baseline, источники данных и периодический отчет.</w:t>
            </w:r>
          </w:p>
        </w:tc>
        <w:tc>
          <w:tcPr>
            <w:tcW w:type="dxa" w:w="19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Данных нет или они не связаны с решениями.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A5. Экономика</w:t>
            </w:r>
          </w:p>
        </w:tc>
        <w:tc>
          <w:tcPr>
            <w:tcW w:type="dxa" w:w="24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Сохраняется ли связь с маржей и LTV?</w:t>
            </w:r>
          </w:p>
        </w:tc>
        <w:tc>
          <w:tcPr>
            <w:tcW w:type="dxa" w:w="33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Финансовые гипотезы проверяются и не обещаются без модели.</w:t>
            </w:r>
          </w:p>
        </w:tc>
        <w:tc>
          <w:tcPr>
            <w:tcW w:type="dxa" w:w="195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Проект требует гарантий без данных.</w:t>
            </w:r>
          </w:p>
        </w:tc>
      </w:tr>
      <w:tr>
        <w:tc>
          <w:tcPr>
            <w:tcW w:type="dxa" w:w="12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A6. Риски</w:t>
            </w:r>
          </w:p>
        </w:tc>
        <w:tc>
          <w:tcPr>
            <w:tcW w:type="dxa" w:w="24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Управляются ли разрывы?</w:t>
            </w:r>
          </w:p>
        </w:tc>
        <w:tc>
          <w:tcPr>
            <w:tcW w:type="dxa" w:w="33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Риски имеют владельцев и сроки реакции.</w:t>
            </w:r>
          </w:p>
        </w:tc>
        <w:tc>
          <w:tcPr>
            <w:tcW w:type="dxa" w:w="195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Риски известны, но решения не принимаются.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2. Решение gate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300"/>
        <w:gridCol w:w="4300"/>
        <w:gridCol w:w="2400"/>
      </w:tblGrid>
      <w:tr>
        <w:tc>
          <w:tcPr>
            <w:tcW w:type="dxa" w:w="23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Решение</w:t>
            </w:r>
          </w:p>
        </w:tc>
        <w:tc>
          <w:tcPr>
            <w:tcW w:type="dxa" w:w="43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Когда ставится</w:t>
            </w:r>
          </w:p>
        </w:tc>
        <w:tc>
          <w:tcPr>
            <w:tcW w:type="dxa" w:w="24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Коммерческое действие</w:t>
            </w:r>
          </w:p>
        </w:tc>
      </w:tr>
      <w:tr>
        <w:tc>
          <w:tcPr>
            <w:tcW w:type="dxa" w:w="23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Continue, продолжать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Объект живой, метрики собираются, команда действует, есть следующий горизонт управления.</w:t>
            </w:r>
          </w:p>
        </w:tc>
        <w:tc>
          <w:tcPr>
            <w:tcW w:type="dxa" w:w="2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Продлить Сопровождение.</w:t>
            </w:r>
          </w:p>
        </w:tc>
      </w:tr>
      <w:tr>
        <w:tc>
          <w:tcPr>
            <w:tcW w:type="dxa" w:w="23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Conditional, продолжать при условиях</w:t>
            </w:r>
          </w:p>
        </w:tc>
        <w:tc>
          <w:tcPr>
            <w:tcW w:type="dxa" w:w="43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Есть 1-2 устранимых разрыва в данных, ролях, ритме или канале.</w:t>
            </w:r>
          </w:p>
        </w:tc>
        <w:tc>
          <w:tcPr>
            <w:tcW w:type="dxa" w:w="2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Продлить после закрытия условий.</w:t>
            </w:r>
          </w:p>
        </w:tc>
      </w:tr>
      <w:tr>
        <w:tc>
          <w:tcPr>
            <w:tcW w:type="dxa" w:w="23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Exit, завершить корректно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Цель сопровождения достигнута, система передана команде клиента.</w:t>
            </w:r>
          </w:p>
        </w:tc>
        <w:tc>
          <w:tcPr>
            <w:tcW w:type="dxa" w:w="2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Закрыть этап и предложить контрольную диагностику позже.</w:t>
            </w:r>
          </w:p>
        </w:tc>
      </w:tr>
      <w:tr>
        <w:tc>
          <w:tcPr>
            <w:tcW w:type="dxa" w:w="23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Stop, остановить</w:t>
            </w:r>
          </w:p>
        </w:tc>
        <w:tc>
          <w:tcPr>
            <w:tcW w:type="dxa" w:w="43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Нет объекта, владельцев, данных, решений или клиент просит имитацию управления.</w:t>
            </w:r>
          </w:p>
        </w:tc>
        <w:tc>
          <w:tcPr>
            <w:tcW w:type="dxa" w:w="2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Не продлевать.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3. Протокол месяца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500"/>
        <w:gridCol w:w="6500"/>
      </w:tblGrid>
      <w:tr>
        <w:tc>
          <w:tcPr>
            <w:tcW w:type="dxa" w:w="25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Поле</w:t>
            </w:r>
          </w:p>
        </w:tc>
        <w:tc>
          <w:tcPr>
            <w:tcW w:type="dxa" w:w="65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Запись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Месяц / цикл</w:t>
            </w:r>
          </w:p>
        </w:tc>
        <w:tc>
          <w:tcPr>
            <w:tcW w:type="dxa" w:w="6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[месяц, даты]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Статус объекта</w:t>
            </w:r>
          </w:p>
        </w:tc>
        <w:tc>
          <w:tcPr>
            <w:tcW w:type="dxa" w:w="6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[что сопровождаем]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Ключевые факты</w:t>
            </w:r>
          </w:p>
        </w:tc>
        <w:tc>
          <w:tcPr>
            <w:tcW w:type="dxa" w:w="6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[поведение, данные, экономика, риски]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Решения</w:t>
            </w:r>
          </w:p>
        </w:tc>
        <w:tc>
          <w:tcPr>
            <w:tcW w:type="dxa" w:w="6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[что принято C-level]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Условия</w:t>
            </w:r>
          </w:p>
        </w:tc>
        <w:tc>
          <w:tcPr>
            <w:tcW w:type="dxa" w:w="6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[что закрыть до следующего цикла]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Gate-статус</w:t>
            </w:r>
          </w:p>
        </w:tc>
        <w:tc>
          <w:tcPr>
            <w:tcW w:type="dxa" w:w="6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[Continue / Conditional / Exit / Stop]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Следующий шаг</w:t>
            </w:r>
          </w:p>
        </w:tc>
        <w:tc>
          <w:tcPr>
            <w:tcW w:type="dxa" w:w="6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[продлить / донастроить / завершить / остановить]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4. Запреты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продлевать Сопровождение автоматически без gate-решения.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продавать Сопровождение как абонентский маркетинг, ведение контента или контроль подрядчиков.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обещать рост продаж, LTV или маржи без данных, baseline и условий модели.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менять мотив-ядро без возврата к Сессии или отдельного авторского решения.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5"/>
      </w:rPr>
      <w:t>P1E | gate продолжения, изменения или завершения | консультантский слой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C-Level Insight | Повторяемый спрос | Gate Сопровождения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