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rFonts w:ascii="Calibri" w:hAnsi="Calibri" w:eastAsia="Calibri"/>
          <w:b/>
          <w:i w:val="0"/>
          <w:color w:val="B46A3C"/>
          <w:sz w:val="17"/>
        </w:rPr>
        <w:t>C-Level Insight</w:t>
      </w:r>
    </w:p>
    <w:p>
      <w:pPr>
        <w:spacing w:after="80"/>
      </w:pPr>
      <w:r>
        <w:rPr>
          <w:rFonts w:ascii="Calibri" w:hAnsi="Calibri" w:eastAsia="Calibri"/>
          <w:b/>
          <w:i w:val="0"/>
          <w:color w:val="0B1F33"/>
          <w:sz w:val="44"/>
        </w:rPr>
        <w:t>Повторяемый спрос - содержание папки 40 Сопровождение</w:t>
      </w:r>
    </w:p>
    <w:p>
      <w:pPr>
        <w:spacing w:after="200"/>
      </w:pPr>
      <w:r>
        <w:rPr>
          <w:rFonts w:ascii="Calibri" w:hAnsi="Calibri" w:eastAsia="Calibri"/>
          <w:b/>
          <w:i w:val="0"/>
          <w:color w:val="0F766E"/>
          <w:sz w:val="22"/>
        </w:rPr>
        <w:t>Навигационный реестр актуальных файлов четвертого платного этапа</w:t>
      </w:r>
    </w:p>
    <w:p>
      <w:pPr>
        <w:spacing w:before="0" w:after="100" w:line="274" w:lineRule="auto"/>
      </w:pPr>
      <w:r>
        <w:rPr>
          <w:rFonts w:ascii="Calibri" w:hAnsi="Calibri" w:eastAsia="Calibri"/>
          <w:b w:val="0"/>
          <w:i w:val="0"/>
          <w:color w:val="475569"/>
          <w:sz w:val="21"/>
        </w:rPr>
        <w:t>Папка содержит актуальные материалы Сопровождения: паспорт продукта, финансовые материалы, рабочие шаблоны, итоговый пакет управления, gate-протокол и XLSX-трекер регулярного управленческого ритма.</w:t>
      </w:r>
    </w:p>
    <w:tbl>
      <w:tblPr>
        <w:tblW w:type="dxa" w:w="9000"/>
        <w:jc w:val="center"/>
        <w:tblLayout w:type="fixed"/>
        <w:tblLook w:firstColumn="1" w:firstRow="1" w:lastColumn="0" w:lastRow="0" w:noHBand="0" w:noVBand="1" w:val="04A0"/>
        <w:tblInd w:w="80" w:type="dxa"/>
        <w:tblBorders>
          <w:top w:val="single" w:sz="5" w:space="0" w:color="D8CFC3"/>
          <w:left w:val="single" w:sz="5" w:space="0" w:color="D8CFC3"/>
          <w:bottom w:val="single" w:sz="5" w:space="0" w:color="D8CFC3"/>
          <w:right w:val="single" w:sz="5" w:space="0" w:color="D8CFC3"/>
          <w:insideH w:val="single" w:sz="5" w:space="0" w:color="D8CFC3"/>
          <w:insideV w:val="single" w:sz="5" w:space="0" w:color="D8CFC3"/>
        </w:tblBorders>
      </w:tblPr>
      <w:tblGrid>
        <w:gridCol w:w="3600"/>
        <w:gridCol w:w="5400"/>
      </w:tblGrid>
      <w:tr>
        <w:tc>
          <w:tcPr>
            <w:tcW w:type="dxa" w:w="36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Наименование</w:t>
            </w:r>
          </w:p>
        </w:tc>
        <w:tc>
          <w:tcPr>
            <w:tcW w:type="dxa" w:w="5400"/>
            <w:vAlign w:val="center"/>
            <w:tcMar>
              <w:top w:w="85" w:type="dxa"/>
              <w:start w:w="120" w:type="dxa"/>
              <w:bottom w:w="85" w:type="dxa"/>
              <w:end w:w="120" w:type="dxa"/>
            </w:tcMar>
            <w:shd w:fill="0B1F33"/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16"/>
              </w:rPr>
              <w:t>Краткое описание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Повторяемый_Спрос_Сопровождение_Gate_Протокол_v2.docx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Консультантский gate-протокол Сопровождения: продолжать, продолжать при условиях, завершить или остановить.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Повторяемый_Спрос_Сопровождение_Итоговый_Пакет_Управления_v2.docx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Клиентский итог Сопровождения: объект управления, ритм, метрики, риски, решения и правила продолжения.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Повторяемый_Спрос_Сопровождение_Лонгрид_PnL_Разовый_и_Повторяемый_Спрос.docx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Лонгрид о финансовой разнице разового промо-спроса и повторяемого спроса.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Повторяемый_Спрос_Сопровождение_Паспорт_Продукта.docx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Паспорт продукта Сопровождения: назначение, формат, результат и границы ответственности.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Повторяемый_Спрос_Сопровождение_Управленческая_PnL_Бытовая_Химия.xlsx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XLSX-модель P&amp;L, отчет о прибыли и убытках, на примере бытовой химии.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Повторяемый_Спрос_Сопровождение_Шаблон_Готовность_к_Будущему.docx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оценки будущих сцен, сигналов, AI/ML/LLM и масштабируемости повторяемого спроса.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Повторяемый_Спрос_Сопровождение_Шаблон_Готовность_к_Будущему.xlsx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оценки будущих сцен, сигналов, AI/ML/LLM и масштабируемости повторяемого спроса.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Повторяемый_Спрос_Сопровождение_Шаблон_Стратегия_Жизни.docx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стратегии жизни бренда после выбора архитектуры повторяемого спроса.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Повторяемый_Спрос_Сопровождение_Шаблон_Стратегия_Жизни.xlsx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стратегии жизни бренда после выбора архитектуры повторяемого спроса.</w:t>
            </w:r>
          </w:p>
        </w:tc>
      </w:tr>
      <w:tr>
        <w:tc>
          <w:tcPr>
            <w:tcW w:type="dxa" w:w="36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Повторяемый_Спрос_Сопровождение_Шаблон_Финансовая_Модель.docx</w:t>
            </w:r>
          </w:p>
        </w:tc>
        <w:tc>
          <w:tcPr>
            <w:tcW w:type="dxa" w:w="5400"/>
            <w:shd w:fill="FAF7F1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финансовой модели повторяемого спроса: маржа, LTV, CAC, промо-доля и ограничения.</w:t>
            </w:r>
          </w:p>
        </w:tc>
      </w:tr>
      <w:tr>
        <w:tc>
          <w:tcPr>
            <w:tcW w:type="dxa" w:w="36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Повторяемый_Спрос_Сопровождение_Шаблон_Финансовая_Модель.xlsx</w:t>
            </w:r>
          </w:p>
        </w:tc>
        <w:tc>
          <w:tcPr>
            <w:tcW w:type="dxa" w:w="5400"/>
            <w:shd w:fill="FFFFFF"/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Calibri" w:hAnsi="Calibri" w:eastAsia="Calibri"/>
                <w:b w:val="0"/>
                <w:i w:val="0"/>
                <w:color w:val="111827"/>
                <w:sz w:val="15"/>
              </w:rPr>
              <w:t>Шаблон финансовой модели повторяемого спроса: маржа, LTV, CAC, промо-доля и ограничения.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037" w:right="1037" w:bottom="979" w:left="1123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Calibri"/>
        <w:b w:val="0"/>
        <w:i w:val="0"/>
        <w:color w:val="475569"/>
        <w:sz w:val="15"/>
      </w:rPr>
      <w:t>P1E | содержание папки | Сопровождение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 w:eastAsia="Calibri"/>
        <w:b w:val="0"/>
        <w:i w:val="0"/>
        <w:color w:val="475569"/>
        <w:sz w:val="16"/>
      </w:rPr>
      <w:t>C-Level Insight | Повторяемый спрос | содержание папки 40 Сопровождение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4" w:lineRule="auto"/>
    </w:pPr>
    <w:rPr>
      <w:rFonts w:ascii="Calibri" w:hAnsi="Calibri" w:eastAsia="Calibri"/>
      <w:color w:val="11182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