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83" w:lineRule="auto"/>
      </w:pPr>
      <w:r>
        <w:rPr>
          <w:rFonts w:ascii="Calibri" w:hAnsi="Calibri" w:eastAsia="Calibri"/>
          <w:b/>
          <w:color w:val="B46A3C"/>
          <w:sz w:val="17"/>
        </w:rPr>
        <w:t>C-Level Insight</w:t>
      </w:r>
    </w:p>
    <w:p>
      <w:pPr>
        <w:spacing w:after="80" w:before="0" w:line="283" w:lineRule="auto"/>
      </w:pPr>
      <w:r>
        <w:rPr>
          <w:rFonts w:ascii="Calibri" w:hAnsi="Calibri" w:eastAsia="Calibri"/>
          <w:b/>
          <w:color w:val="0B1F33"/>
          <w:sz w:val="36"/>
        </w:rPr>
        <w:t>Повторяемый_Спрос - содержание папки: 50 Кейсы</w:t>
      </w:r>
    </w:p>
    <w:p>
      <w:pPr>
        <w:spacing w:after="180" w:before="0" w:line="283" w:lineRule="auto"/>
      </w:pPr>
      <w:r>
        <w:rPr>
          <w:rFonts w:ascii="Calibri" w:hAnsi="Calibri" w:eastAsia="Calibri"/>
          <w:b w:val="0"/>
          <w:color w:val="475569"/>
          <w:sz w:val="20"/>
        </w:rPr>
        <w:t>Папка кейсов: каталог и 12 кейсов применения технологии Повторяемый спрос.</w:t>
      </w:r>
    </w:p>
    <w:tbl>
      <w:tblPr>
        <w:tblW w:type="dxa" w:w="1300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4500"/>
        <w:gridCol w:w="8500"/>
      </w:tblGrid>
      <w:t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Наименование</w:t>
            </w:r>
          </w:p>
        </w:tc>
        <w:tc>
          <w:tcPr>
            <w:tcW w:type="dxa" w:w="8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Краткое описание</w:t>
            </w:r>
          </w:p>
        </w:tc>
      </w:tr>
      <w:tr>
        <w:tc>
          <w:tcPr>
            <w:tcW w:type="dxa" w:w="450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Повторяемый_Спрос_Кейс_01_Кофейный_Бренд_Покупатель_Не_Возвращался.docx</w:t>
            </w:r>
          </w:p>
        </w:tc>
        <w:tc>
          <w:tcPr>
            <w:tcW w:type="dxa" w:w="850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Кейс №01: пример ситуации компании, прохождения цикла технологии и управленческого результата.</w:t>
            </w:r>
          </w:p>
        </w:tc>
      </w:tr>
      <w:tr>
        <w:tc>
          <w:tcPr>
            <w:tcW w:type="dxa" w:w="4500"/>
            <w:shd w:fill="FAF7F1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Повторяемый_Спрос_Кейс_02_Бренд_Косметики_Не_Создал_Повторную_Покупку.docx</w:t>
            </w:r>
          </w:p>
        </w:tc>
        <w:tc>
          <w:tcPr>
            <w:tcW w:type="dxa" w:w="8500"/>
            <w:shd w:fill="FAF7F1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Кейс №02: пример ситуации компании, прохождения цикла технологии и управленческого результата.</w:t>
            </w:r>
          </w:p>
        </w:tc>
      </w:tr>
      <w:tr>
        <w:tc>
          <w:tcPr>
            <w:tcW w:type="dxa" w:w="450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Повторяемый_Спрос_Кейс_03_Садовый_Бренд_Терял_Покупателя_После_Первой_Посадки.docx</w:t>
            </w:r>
          </w:p>
        </w:tc>
        <w:tc>
          <w:tcPr>
            <w:tcW w:type="dxa" w:w="850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Кейс №03: пример ситуации компании, прохождения цикла технологии и управленческого результата.</w:t>
            </w:r>
          </w:p>
        </w:tc>
      </w:tr>
      <w:tr>
        <w:tc>
          <w:tcPr>
            <w:tcW w:type="dxa" w:w="4500"/>
            <w:shd w:fill="FAF7F1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Повторяемый_Спрос_Кейс_04_Бренд_Кормов_Не_Создал_Ритуал_Заботы.docx</w:t>
            </w:r>
          </w:p>
        </w:tc>
        <w:tc>
          <w:tcPr>
            <w:tcW w:type="dxa" w:w="8500"/>
            <w:shd w:fill="FAF7F1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Кейс №04: пример ситуации компании, прохождения цикла технологии и управленческого результата.</w:t>
            </w:r>
          </w:p>
        </w:tc>
      </w:tr>
      <w:tr>
        <w:tc>
          <w:tcPr>
            <w:tcW w:type="dxa" w:w="450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Повторяемый_Спрос_Кейс_05_Бренд_Бытовой_Химии_Сцена_Спокойного_Дома.docx</w:t>
            </w:r>
          </w:p>
        </w:tc>
        <w:tc>
          <w:tcPr>
            <w:tcW w:type="dxa" w:w="850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Кейс №05: пример ситуации компании, прохождения цикла технологии и управленческого результата.</w:t>
            </w:r>
          </w:p>
        </w:tc>
      </w:tr>
      <w:tr>
        <w:tc>
          <w:tcPr>
            <w:tcW w:type="dxa" w:w="4500"/>
            <w:shd w:fill="FAF7F1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Повторяемый_Спрос_Кейс_06_Сервис_Срочного_Ремонта_Отказ_После_Диагностики.docx</w:t>
            </w:r>
          </w:p>
        </w:tc>
        <w:tc>
          <w:tcPr>
            <w:tcW w:type="dxa" w:w="8500"/>
            <w:shd w:fill="FAF7F1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Кейс №06: пример ситуации компании, прохождения цикла технологии и управленческого результата.</w:t>
            </w:r>
          </w:p>
        </w:tc>
      </w:tr>
      <w:tr>
        <w:tc>
          <w:tcPr>
            <w:tcW w:type="dxa" w:w="450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Повторяемый_Спрос_Кейс_07_Сеть_Фитнес_Студий_Ритуал_Возврата.docx</w:t>
            </w:r>
          </w:p>
        </w:tc>
        <w:tc>
          <w:tcPr>
            <w:tcW w:type="dxa" w:w="850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Кейс №07: пример ситуации компании, прохождения цикла технологии и управленческого результата.</w:t>
            </w:r>
          </w:p>
        </w:tc>
      </w:tr>
      <w:tr>
        <w:tc>
          <w:tcPr>
            <w:tcW w:type="dxa" w:w="4500"/>
            <w:shd w:fill="FAF7F1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Повторяемый_Спрос_Кейс_08_Детский_Центр_Траектория_Развития.docx</w:t>
            </w:r>
          </w:p>
        </w:tc>
        <w:tc>
          <w:tcPr>
            <w:tcW w:type="dxa" w:w="8500"/>
            <w:shd w:fill="FAF7F1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Кейс №08: пример ситуации компании, прохождения цикла технологии и управленческого результата.</w:t>
            </w:r>
          </w:p>
        </w:tc>
      </w:tr>
      <w:tr>
        <w:tc>
          <w:tcPr>
            <w:tcW w:type="dxa" w:w="450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Повторяемый_Спрос_Кейс_09_Сеть_Оптики_Система_Ясного_Зрения.docx</w:t>
            </w:r>
          </w:p>
        </w:tc>
        <w:tc>
          <w:tcPr>
            <w:tcW w:type="dxa" w:w="850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Кейс №09: пример ситуации компании, прохождения цикла технологии и управленческого результата.</w:t>
            </w:r>
          </w:p>
        </w:tc>
      </w:tr>
      <w:tr>
        <w:tc>
          <w:tcPr>
            <w:tcW w:type="dxa" w:w="4500"/>
            <w:shd w:fill="FAF7F1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Повторяемый_Спрос_Кейс_10_Сервис_Готового_Питания_Ритуал_Спокойной_Недели.docx</w:t>
            </w:r>
          </w:p>
        </w:tc>
        <w:tc>
          <w:tcPr>
            <w:tcW w:type="dxa" w:w="8500"/>
            <w:shd w:fill="FAF7F1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Кейс №10: пример ситуации компании, прохождения цикла технологии и управленческого результата.</w:t>
            </w:r>
          </w:p>
        </w:tc>
      </w:tr>
      <w:tr>
        <w:tc>
          <w:tcPr>
            <w:tcW w:type="dxa" w:w="450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Повторяемый_Спрос_Кейс_11_Сеть_Салонов_Красоты_Ритуал_Ухоженности.docx</w:t>
            </w:r>
          </w:p>
        </w:tc>
        <w:tc>
          <w:tcPr>
            <w:tcW w:type="dxa" w:w="850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Кейс №11: пример ситуации компании, прохождения цикла технологии и управленческого результата.</w:t>
            </w:r>
          </w:p>
        </w:tc>
      </w:tr>
      <w:tr>
        <w:tc>
          <w:tcPr>
            <w:tcW w:type="dxa" w:w="4500"/>
            <w:shd w:fill="FAF7F1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Повторяемый_Спрос_Кейс_12_Бренд_Базовой_Одежды_Собранный_Гардероб.docx</w:t>
            </w:r>
          </w:p>
        </w:tc>
        <w:tc>
          <w:tcPr>
            <w:tcW w:type="dxa" w:w="8500"/>
            <w:shd w:fill="FAF7F1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Кейс №12: пример ситуации компании, прохождения цикла технологии и управленческого результата.</w:t>
            </w:r>
          </w:p>
        </w:tc>
      </w:tr>
      <w:tr>
        <w:tc>
          <w:tcPr>
            <w:tcW w:type="dxa" w:w="450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Повторяемый_Спрос_Кейсы_Каталог_12_Кейсов.docx</w:t>
            </w:r>
          </w:p>
        </w:tc>
        <w:tc>
          <w:tcPr>
            <w:tcW w:type="dxa" w:w="850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Каталог 12 кейсов технологии: краткая карта проблем, решений и результатов по всем кейсам.</w:t>
            </w:r>
          </w:p>
        </w:tc>
      </w:tr>
    </w:tbl>
    <w:sectPr w:rsidR="00FC693F" w:rsidRPr="0006063C" w:rsidSect="00034616">
      <w:headerReference w:type="default" r:id="rId9"/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6"/>
      </w:rPr>
      <w:t>Валерий Бирюков / C-Level Insight | Повторяемый спрос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