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Переход</w:t>
      </w:r>
    </w:p>
    <w:p>
      <w:pPr>
        <w:pStyle w:val="Heading1"/>
      </w:pPr>
      <w:r>
        <w:t>Каталог папки: 30 Документация</w:t>
      </w:r>
    </w:p>
    <w:p>
      <w:pPr>
        <w:pStyle w:val="Heading2"/>
      </w:pPr>
      <w:r>
        <w:t>1. Назначение папки</w:t>
      </w:r>
    </w:p>
    <w:p>
      <w:r>
        <w:t>Папка содержит актуальную рабочую, методическую, коммерческую и табличную документацию технологии AI переход.</w:t>
      </w:r>
    </w:p>
    <w:p>
      <w:pPr>
        <w:pStyle w:val="Heading2"/>
      </w:pPr>
      <w:r>
        <w:t>2. Состав папки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Папка</w:t>
            </w:r>
          </w:p>
        </w:tc>
        <w:tc>
          <w:tcPr>
            <w:tcW w:type="dxa" w:w="2160"/>
          </w:tcPr>
          <w:p>
            <w:r>
              <w:t>Файл</w:t>
            </w:r>
          </w:p>
        </w:tc>
        <w:tc>
          <w:tcPr>
            <w:tcW w:type="dxa" w:w="2160"/>
          </w:tcPr>
          <w:p>
            <w:r>
              <w:t>Формат</w:t>
            </w:r>
          </w:p>
        </w:tc>
        <w:tc>
          <w:tcPr>
            <w:tcW w:type="dxa" w:w="2160"/>
          </w:tcPr>
          <w:p>
            <w:r>
              <w:t>Назначение / комментарий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AI_Переход_Диагностика_Документ_Анкета_готовности.docx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AI_Переход_Диагностика_Документ_Заполненный_пример_стоп_пути.docx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AI_Переход_Диагностика_Документ_Карточка_первичного_запроса.docx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AI_Переход_Диагностика_Документ_Каталог_папки.docx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AI_Переход_Диагностика_Документ_Паспорт_продукта_и_методология_работы.docx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AI_Переход_Диагностика_Документ_Протокол_вердикта_готовности.docx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AI_Переход_Диагностика_Документ_Сценарии_встреч_и_интервью.docx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AI_Переход_Диагностика_Таблица_Модель_оценки_готовности_и_применимости.xlsx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AI_Переход_Диагностика_Таблица_Рабочая_книга.xlsx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Документация/10 Диагностика</w:t>
            </w:r>
          </w:p>
        </w:tc>
        <w:tc>
          <w:tcPr>
            <w:tcW w:type="dxa" w:w="2160"/>
          </w:tcPr>
          <w:p>
            <w:r>
              <w:t>AI_Переход_Диагностика_Таблица_Чеклист_проведения_и_приемки.xlsx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10 Диагностика.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AI_Переход_Сессия_Документ_Каталог_папки.docx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AI_Переход_Сессия_Документ_Паспорт_продукта_и_методология_работы.docx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AI_Переход_Сессия_Документ_Протокол_активного_набора.docx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AI_Переход_Сессия_Документ_Сценарии_встреч_и_интервью.docx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AI_Переход_Сессия_Таблица_Модель_оценки_готовности_и_применимости.xlsx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AI_Переход_Сессия_Таблица_Операционная_карта_применения.xlsx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AI_Переход_Сессия_Таблица_Рабочая_книга.xlsx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Документация/20 Сессия</w:t>
            </w:r>
          </w:p>
        </w:tc>
        <w:tc>
          <w:tcPr>
            <w:tcW w:type="dxa" w:w="2160"/>
          </w:tcPr>
          <w:p>
            <w:r>
              <w:t>AI_Переход_Сессия_Таблица_Чеклист_проведения_и_приемки.xlsx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20 Сессия.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AI_Переход_Спринт_Документ_Каталог_папки.docx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AI_Переход_Спринт_Документ_Паспорт_продукта_и_методология_работы.docx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AI_Переход_Спринт_Документ_План_реализации.docx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AI_Переход_Спринт_Документ_Промежуточный_отчет.docx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AI_Переход_Спринт_Документ_Сценарии_встреч_и_интервью.docx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AI_Переход_Спринт_Таблица_Карта_эффекта_и_финансовая_панель.xlsx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AI_Переход_Спринт_Таблица_Рабочая_книга.xlsx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Документация/30 Спринт</w:t>
            </w:r>
          </w:p>
        </w:tc>
        <w:tc>
          <w:tcPr>
            <w:tcW w:type="dxa" w:w="2160"/>
          </w:tcPr>
          <w:p>
            <w:r>
              <w:t>AI_Переход_Спринт_Таблица_Чеклист_проведения_и_приемки.xlsx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30 Спринт.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AI_Переход_Сопровождение_Документ_Каталог_папки.docx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AI_Переход_Сопровождение_Документ_Отчет_контроля_внедрения.docx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AI_Переход_Сопровождение_Документ_Паспорт_продукта_и_методология_работы.docx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AI_Переход_Сопровождение_Документ_Протокол_остановки_или_продолжения.docx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AI_Переход_Сопровождение_Документ_Решение_о_следующем_цикле.docx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клиентский. Выходной или протокольный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AI_Переход_Сопровождение_Документ_Сценарии_встреч_и_интервью.docx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AI_Переход_Сопровождение_Таблица_Карта_эффекта_и_финансовая_панель.xlsx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AI_Переход_Сопровождение_Таблица_Рабочая_книга.xlsx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Документация/40 Сопровождение</w:t>
            </w:r>
          </w:p>
        </w:tc>
        <w:tc>
          <w:tcPr>
            <w:tcW w:type="dxa" w:w="2160"/>
          </w:tcPr>
          <w:p>
            <w:r>
              <w:t>AI_Переход_Сопровождение_Таблица_Чеклист_проведения_и_приемки.xlsx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доставка / консультантский. Рабочий документ продукта: 40 Сопровождение.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AI_Переход_Документация_Документ_Каталог_папки.docx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каталог / внутренний. Каталог папки.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AI_Переход_Итоговая_Презентация_Технологии_v1_0.pdf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презентация / PDF-копия / коммерческий. PDF-копия итоговой презентации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AI_Переход_Итоговая_Презентация_Технологии_v1_0.pptx</w:t>
            </w:r>
          </w:p>
        </w:tc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презентация / коммерческий / клиентский. Итоговая техническая презентация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AI_Переход_Коммерция_Документ_Акт_приемки_презентации_и_сайт_паспорта_v1_0.docx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AI_Переход_Коммерция_Документ_Карта_выбора_первого_продукта.docx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AI_Переход_Коммерция_Документ_Одностраничный_оффер.docx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AI_Переход_Коммерция_Документ_Продукты_сроки_и_цены.docx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AI_Переход_Коммерция_Документ_Работа_с_возражениями.docx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AI_Переход_Коммерция_Документ_Шаблон_коммерческого_предложения.docx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коммерческий. Коммерческий документ.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AI_Переход_Контентный_Контракт_Визуализаций_01_12_V1.docx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визуализации / контентный контракт / внутренний. Контентный контракт визуализаций для Claude Design.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AI_Переход_Матрица_Доказательности_v1_0.xlsx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AI_Переход_Навигатор_Кейсов_Для_Диагностики_v1_0.xlsx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AI_Переход_Реестр_Релиза_v1_0.xlsx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SSOT / реестр. Контроль состава, статусов и релиза.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AI_Переход_Технология_Документ_Анти_позиционирование_v1_0.docx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AI_Переход_Технология_Документ_Вопросы_и_ответы_по_технологии.docx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справочный / клиентский. Справочный слой для объяснения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AI_Переход_Технология_Документ_Глоссарий_технологии.docx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справочный / клиентский. Справочный слой для объяснения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AI_Переход_Технология_Документ_Заполненный_пример_положительного_пути.docx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AI_Переход_Технология_Документ_Карта_комплекта_и_логика_использования.docx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SSOT / навигация. Карта комплекта и логика использования.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AI_Переход_Технология_Документ_Методика_заполнения_рабочих_книг.docx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AI_Переход_Технология_Документ_Навигатор_консультанта_по_4_продуктам_v1_0.docx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AI_Переход_Технология_Документ_Основной_документ_технологии.docx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SSOT / технология. Главный документ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AI_Переход_Технология_Документ_Рабочая_книга_консультанта.docx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AI_Переход_Технология_Документ_Регламент_проведения_технологии.docx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SSOT / проведение. Регламент проведения технологии.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AI_Переход_Технология_Таблица_Индекс_комплекта_документации.xlsx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SSOT / реестр. Контроль состава, статусов и релиза.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AI_Переход_Технология_Таблица_Контроль_качества_этапов.xlsx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контроль / внутренний. Контроль качества и трассировка.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AI_Переход_Технология_Таблица_Маркировка_документов_комплекта.xlsx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SSOT / реестр. Контроль состава, статусов и релиза.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AI_Переход_Технология_Таблица_Матрица_трассировки_источников.xlsx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AI_Переход_Технология_Таблица_Проводимость_4_продуктов_v1_0.xlsx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  <w:tc>
          <w:tcPr>
            <w:tcW w:type="dxa" w:w="2160"/>
          </w:tcPr>
          <w:p>
            <w:r>
              <w:t>рабочий / внутренний. Рабочий документ активного комплекта.</w:t>
            </w:r>
          </w:p>
        </w:tc>
      </w:tr>
      <w:tr>
        <w:tc>
          <w:tcPr>
            <w:tcW w:type="dxa" w:w="2160"/>
          </w:tcPr>
          <w:p>
            <w:r>
              <w:t>30 Документация</w:t>
            </w:r>
          </w:p>
        </w:tc>
        <w:tc>
          <w:tcPr>
            <w:tcW w:type="dxa" w:w="2160"/>
          </w:tcPr>
          <w:p>
            <w:r>
              <w:t>AI_Переход_ТЗ_Маркетинговая_Презентация_Claude_Design_v1_0.docx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ТЗ / коммерческая упаковка / внутренний. Задание на создание маркетинговой презентации в Claude Design.</w:t>
            </w:r>
          </w:p>
        </w:tc>
      </w:tr>
    </w:tbl>
    <w:p>
      <w:pPr>
        <w:pStyle w:val="Heading2"/>
      </w:pPr>
      <w:r>
        <w:t>3. Правило хранения</w:t>
      </w:r>
    </w:p>
    <w:p>
      <w:r>
        <w:t>Хранить только актуальные DOCX, XLSX, PPTX файлы документации и PDF-копию итоговой презентации по стандарту 00D. Старые, дублирующие и служебные материалы переносить в папку 99 Архив.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