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142332"/>
          <w:sz w:val="40"/>
        </w:rPr>
        <w:t>AI переход: акт приемки презентации и сайт-паспорта</w:t>
      </w:r>
    </w:p>
    <w:p>
      <w:r>
        <w:rPr>
          <w:rFonts w:ascii="Calibri" w:hAnsi="Calibri"/>
          <w:color w:val="5A6978"/>
          <w:sz w:val="20"/>
        </w:rPr>
        <w:t>P2. Презентация, сайт и клиентская понятность | 28 июля 2026 | статус: Go</w:t>
      </w:r>
    </w:p>
    <w:p>
      <w:pPr>
        <w:pStyle w:val="Heading1"/>
      </w:pPr>
      <w:r>
        <w:rPr>
          <w:rFonts w:ascii="Calibri" w:hAnsi="Calibri"/>
          <w:color w:val="2E74B5"/>
        </w:rPr>
        <w:t>1. Вердикт</w:t>
      </w:r>
    </w:p>
    <w:p>
      <w:r>
        <w:rPr>
          <w:b/>
          <w:color w:val="142332"/>
        </w:rPr>
        <w:t>Итоговая техническая презентация принята. Сайт-паспорт принят как передаточный клиентско-маркетинговый документ для следующего этапа. Ядро технологии не переписано.</w:t>
      </w:r>
    </w:p>
    <w:p>
      <w:r>
        <w:rPr>
          <w:b w:val="0"/>
        </w:rPr>
        <w:t>Формула ядра сохранена: сначала управляемость, потом искусственный интеллект, ИИ.</w:t>
      </w:r>
    </w:p>
    <w:p>
      <w:pPr>
        <w:pStyle w:val="Heading1"/>
      </w:pPr>
      <w:r>
        <w:rPr>
          <w:rFonts w:ascii="Calibri" w:hAnsi="Calibri"/>
          <w:color w:val="2E74B5"/>
        </w:rPr>
        <w:t>2. Проверенные файлы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3000"/>
        <w:gridCol w:w="3900"/>
        <w:gridCol w:w="2460"/>
      </w:tblGrid>
      <w:tr>
        <w:tc>
          <w:tcPr>
            <w:tcW w:type="dxa" w:w="3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42332"/>
                <w:sz w:val="19"/>
              </w:rPr>
              <w:t>Файл</w:t>
            </w:r>
          </w:p>
        </w:tc>
        <w:tc>
          <w:tcPr>
            <w:tcW w:type="dxa" w:w="3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42332"/>
                <w:sz w:val="19"/>
              </w:rPr>
              <w:t>Роль</w:t>
            </w:r>
          </w:p>
        </w:tc>
        <w:tc>
          <w:tcPr>
            <w:tcW w:type="dxa" w:w="24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42332"/>
                <w:sz w:val="19"/>
              </w:rPr>
              <w:t>Статус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AI_Переход_Итоговая_Презентация_Технологии_v1_0.pptx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Итоговая техническая презентация технологии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Принято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AI_Переход_Итоговая_Презентация_Технологии_v1_0.pdf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PDF-копия итоговой презентации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Выпущено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AI_Переход_Технология_Документ_Паспорт_технологии_для_сайта_V1.docx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Паспорт технологии для сайта и внешней упаковки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Принято для P3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</w:rPr>
        <w:t>3. Приемка презентации по стандарту 00D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c>
          <w:tcPr>
            <w:tcW w:type="dxa" w:w="2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42332"/>
                <w:sz w:val="19"/>
              </w:rPr>
              <w:t>Проверка</w:t>
            </w:r>
          </w:p>
        </w:tc>
        <w:tc>
          <w:tcPr>
            <w:tcW w:type="dxa" w:w="69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42332"/>
                <w:sz w:val="19"/>
              </w:rPr>
              <w:t>Результат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Ядро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Сохранено: технология не сведена к обучению промптам, внедрению ChatGPT или автоматизации.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Продукты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Показаны 4 платных продукта: Диагностика, Сессия решений, Спринт реализации, Сопровождение контроля.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Диагностика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Показана как платный вход и gate, а не как бесплатный пресейл.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Claims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Не найдено обещаний экономии, роста выручки, окупаемости, ROI или ROMI до данных клиента.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Кейсы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Кейсы промаркированы как управленческие ситуации, а не подтвержденные внедрения.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Язык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Клиентский слой переведен в русский деловой язык; англоязычные термины минимизированы.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Отстройка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Показано, что AI переход не является обучением промптам, техническим внедрением или автоматизацией.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Файлы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Имя приведено к стандарту: AI_Переход_Итоговая_Презентация_Технологии_v1_0.pptx.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Дизайн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Рендер выполнен, переполнения слайдов не обнаружены.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Следующий шаг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Покупатель ведется к платной Диагностике.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</w:rPr>
        <w:t>4. Изменения относительно предрелизной презентации</w:t>
      </w:r>
    </w:p>
    <w:p>
      <w:pPr>
        <w:pStyle w:val="ListBullet"/>
      </w:pPr>
      <w:r>
        <w:t>Создана релизная версия на 12 слайдов вместо предрелизной версии на 10 слайдов.</w:t>
      </w:r>
    </w:p>
    <w:p>
      <w:pPr>
        <w:pStyle w:val="ListBullet"/>
      </w:pPr>
      <w:r>
        <w:t>Добавлены отдельные смысловые блоки по Спринту реализации, Сопровождению контроля, доказательному следу и кейсам.</w:t>
      </w:r>
    </w:p>
    <w:p>
      <w:pPr>
        <w:pStyle w:val="ListBullet"/>
      </w:pPr>
      <w:r>
        <w:t>Клиентское название приведено к стандарту AI переход.</w:t>
      </w:r>
    </w:p>
    <w:p>
      <w:pPr>
        <w:pStyle w:val="ListBullet"/>
      </w:pPr>
      <w:r>
        <w:t>Слова No-go, Go with limits, Control заменены русскими формулировками в публичном слое.</w:t>
      </w:r>
    </w:p>
    <w:p>
      <w:pPr>
        <w:pStyle w:val="ListBullet"/>
      </w:pPr>
      <w:r>
        <w:t>Сохранены цены только из разрешенного коммерческого документа.</w:t>
      </w:r>
    </w:p>
    <w:p>
      <w:pPr>
        <w:pStyle w:val="Heading1"/>
      </w:pPr>
      <w:r>
        <w:rPr>
          <w:rFonts w:ascii="Calibri" w:hAnsi="Calibri"/>
          <w:color w:val="2E74B5"/>
        </w:rPr>
        <w:t>5. Приемка сайт-паспорта</w:t>
      </w:r>
    </w:p>
    <w:p>
      <w:r>
        <w:rPr>
          <w:b w:val="0"/>
        </w:rPr>
        <w:t>Сайт-паспорт принят для следующего этапа как рабочий источник для сайта, редактора, маркетолога, дизайнера и партнера.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42332"/>
                <w:sz w:val="19"/>
              </w:rPr>
              <w:t>Проверка</w:t>
            </w:r>
          </w:p>
        </w:tc>
        <w:tc>
          <w:tcPr>
            <w:tcW w:type="dxa" w:w="67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42332"/>
                <w:sz w:val="19"/>
              </w:rPr>
              <w:t>Результат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Соответствие ядру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Формула управляемости сохранена; технология объясняется как управленческий допуск к применению ИИ.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Claims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Запрещенные финансовые обещания не обнаружены. Упоминания экономики используются как область проверки, а не как гарантия эффекта.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Анти-позиционирование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Есть отстройка от обучения промптам, автоматизации, аналитики и обычного ИИ-консалтинга.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Кейсы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Кейсы описаны как примеры применения технологии; для внешнего слоя требуется сохранять маркировку модельных примеров.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</w:rPr>
        <w:t>6. Запрос команде на P3</w:t>
      </w:r>
    </w:p>
    <w:p>
      <w:r>
        <w:rPr>
          <w:b w:val="0"/>
        </w:rPr>
        <w:t>После P2 можно переходить к ТЗ на маркетинговую презентацию для Claude Design и коммерческому пакету. Запрос к команде:</w:t>
      </w:r>
    </w:p>
    <w:p>
      <w:pPr>
        <w:pStyle w:val="ListBullet"/>
      </w:pPr>
      <w:r>
        <w:t>Не менять ядро технологии и формулу: сначала управляемость, потом ИИ.</w:t>
      </w:r>
    </w:p>
    <w:p>
      <w:pPr>
        <w:pStyle w:val="ListBullet"/>
      </w:pPr>
      <w:r>
        <w:t>Использовать принятую итоговую презентацию как техническую основу, но не копировать ее дословно в маркетинговую презентацию.</w:t>
      </w:r>
    </w:p>
    <w:p>
      <w:pPr>
        <w:pStyle w:val="ListBullet"/>
      </w:pPr>
      <w:r>
        <w:t>Сделать маркетинговую версию более продающей, сохранив запрет на неподтвержденные финансовые обещания.</w:t>
      </w:r>
    </w:p>
    <w:p>
      <w:pPr>
        <w:pStyle w:val="ListBullet"/>
      </w:pPr>
      <w:r>
        <w:t>Вести покупателя к платной Диагностике как первому безопасному шагу.</w:t>
      </w:r>
    </w:p>
    <w:p>
      <w:pPr>
        <w:pStyle w:val="ListBullet"/>
      </w:pPr>
      <w:r>
        <w:t>Сохранять маркировку кейсов как обобщенных управленческих примеров.</w:t>
      </w:r>
    </w:p>
    <w:p>
      <w:pPr>
        <w:pStyle w:val="Heading1"/>
      </w:pPr>
      <w:r>
        <w:rPr>
          <w:rFonts w:ascii="Calibri" w:hAnsi="Calibri"/>
          <w:color w:val="2E74B5"/>
        </w:rPr>
        <w:t>7. Ограничения приемки</w:t>
      </w:r>
    </w:p>
    <w:p>
      <w:r>
        <w:rPr>
          <w:b w:val="0"/>
        </w:rPr>
        <w:t>Настоящий акт не утверждает новые финансовые эффекты, реальные клиентские внедрения или техническую готовность ИИ-систем. Он подтверждает клиентскую понятность, соответствие презентации стандарту 00D, соответствие сайт-паспорта SSOT и готовность перейти к P3.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