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5" w:lineRule="auto"/>
      </w:pPr>
      <w:r>
        <w:rPr>
          <w:rFonts w:ascii="Arial" w:hAnsi="Arial" w:eastAsia="Arial"/>
          <w:b w:val="0"/>
          <w:color w:val="667085"/>
          <w:sz w:val="17"/>
        </w:rPr>
        <w:t>C-Level Insight | коммерческий оффер</w:t>
      </w:r>
    </w:p>
    <w:tbl>
      <w:tblPr>
        <w:tblW w:type="dxa" w:w="9350"/>
        <w:tblLook w:firstColumn="1" w:firstRow="1" w:lastColumn="0" w:lastRow="0" w:noHBand="0" w:noVBand="1" w:val="04A0"/>
        <w:tblInd w:w="0" w:type="dxa"/>
      </w:tblPr>
      <w:tblGrid>
        <w:gridCol w:w="9350"/>
      </w:tblGrid>
      <w:tr>
        <w:tc>
          <w:tcPr>
            <w:tcW w:type="dxa" w:w="9350"/>
            <w:shd w:fill="0B1F33"/>
            <w:tcBorders>
              <w:top w:val="single" w:sz="8" w:space="0" w:color="0B1F33"/>
              <w:left w:val="single" w:sz="8" w:space="0" w:color="0B1F33"/>
              <w:bottom w:val="single" w:sz="8" w:space="0" w:color="0B1F33"/>
              <w:right w:val="single" w:sz="8" w:space="0" w:color="0B1F33"/>
            </w:tcBorders>
            <w:tcMar>
              <w:top w:w="110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FFFFFF"/>
                <w:sz w:val="44"/>
              </w:rPr>
              <w:t>AI-First Переход</w:t>
            </w:r>
          </w:p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E8EEF5"/>
                <w:sz w:val="21"/>
              </w:rPr>
              <w:t>Диагностика и запуск управляемых решений с ИИ без иллюзий, лишних пилотов и обещаний без данных</w:t>
            </w:r>
          </w:p>
        </w:tc>
      </w:tr>
    </w:tbl>
    <w:tbl>
      <w:tblPr>
        <w:tblW w:type="dxa" w:w="9350"/>
        <w:tblLook w:firstColumn="1" w:firstRow="1" w:lastColumn="0" w:lastRow="0" w:noHBand="0" w:noVBand="1" w:val="04A0"/>
        <w:tblInd w:w="0" w:type="dxa"/>
      </w:tblPr>
      <w:tblGrid>
        <w:gridCol w:w="4650"/>
        <w:gridCol w:w="4700"/>
      </w:tblGrid>
      <w:tr>
        <w:tc>
          <w:tcPr>
            <w:tcW w:type="dxa" w:w="4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10" w:type="dxa"/>
              <w:bottom w:w="100" w:type="dxa"/>
              <w:end w:w="110" w:type="dxa"/>
            </w:tcMar>
            <w:shd w:fill="F4EFE6"/>
          </w:tcPr>
          <w:p>
            <w:pPr>
              <w:spacing w:after="40" w:line="245" w:lineRule="auto"/>
            </w:pPr>
            <w:r>
              <w:rPr>
                <w:rFonts w:ascii="Arial" w:hAnsi="Arial" w:eastAsia="Arial"/>
                <w:b/>
                <w:color w:val="0B1F33"/>
                <w:sz w:val="20"/>
              </w:rPr>
              <w:t>Для кого</w:t>
            </w:r>
          </w:p>
          <w:p>
            <w:pPr>
              <w:pStyle w:val="ListBullet"/>
              <w:spacing w:after="0" w:line="245" w:lineRule="auto"/>
              <w:ind w:left="230" w:hanging="115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собственник или генеральный директор видит ИИ-активность, но не видит управляемый результат;</w:t>
            </w:r>
          </w:p>
          <w:p>
            <w:pPr>
              <w:pStyle w:val="ListBullet"/>
              <w:spacing w:after="0" w:line="245" w:lineRule="auto"/>
              <w:ind w:left="230" w:hanging="115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первый управленческий уровень спорит, что запускать и кто отвечает;</w:t>
            </w:r>
          </w:p>
          <w:p>
            <w:pPr>
              <w:pStyle w:val="ListBullet"/>
              <w:spacing w:after="0" w:line="245" w:lineRule="auto"/>
              <w:ind w:left="230" w:hanging="115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компания не хочет превращать ИИ в набор дорогих экспериментов.</w:t>
            </w:r>
          </w:p>
        </w:tc>
        <w:tc>
          <w:tcPr>
            <w:tcW w:type="dxa" w:w="4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10" w:type="dxa"/>
              <w:bottom w:w="100" w:type="dxa"/>
              <w:end w:w="110" w:type="dxa"/>
            </w:tcMar>
            <w:shd w:fill="F4EFE6"/>
          </w:tcPr>
          <w:p>
            <w:pPr>
              <w:spacing w:after="40" w:line="245" w:lineRule="auto"/>
            </w:pPr>
            <w:r>
              <w:rPr>
                <w:rFonts w:ascii="Arial" w:hAnsi="Arial" w:eastAsia="Arial"/>
                <w:b/>
                <w:color w:val="0B1F33"/>
                <w:sz w:val="20"/>
              </w:rPr>
              <w:t>Что получает клиент</w:t>
            </w:r>
          </w:p>
          <w:p>
            <w:pPr>
              <w:pStyle w:val="ListBullet"/>
              <w:spacing w:after="0" w:line="245" w:lineRule="auto"/>
              <w:ind w:left="230" w:hanging="115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вердикт готовности: запускать, запускать при условиях, отложить или не запускать;</w:t>
            </w:r>
          </w:p>
          <w:p>
            <w:pPr>
              <w:pStyle w:val="ListBullet"/>
              <w:spacing w:after="0" w:line="245" w:lineRule="auto"/>
              <w:ind w:left="230" w:hanging="115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активный набор не более 5 вариантов применения ИИ;</w:t>
            </w:r>
          </w:p>
          <w:p>
            <w:pPr>
              <w:pStyle w:val="ListBullet"/>
              <w:spacing w:after="0" w:line="245" w:lineRule="auto"/>
              <w:ind w:left="230" w:hanging="115"/>
            </w:pPr>
            <w:r>
              <w:rPr>
                <w:rFonts w:ascii="Arial" w:hAnsi="Arial" w:eastAsia="Arial"/>
                <w:b w:val="0"/>
                <w:color w:val="1F2A37"/>
                <w:sz w:val="17"/>
              </w:rPr>
              <w:t>документальный след: протоколы, рабочие книги, решения, условия остановки и контроля.</w:t>
            </w:r>
          </w:p>
        </w:tc>
      </w:tr>
    </w:tbl>
    <w:p>
      <w:pPr>
        <w:spacing w:after="60" w:line="245" w:lineRule="auto" w:before="100"/>
      </w:pPr>
      <w:r>
        <w:rPr>
          <w:rFonts w:ascii="Arial" w:hAnsi="Arial" w:eastAsia="Arial"/>
          <w:b/>
          <w:color w:val="0B1F33"/>
          <w:sz w:val="25"/>
        </w:rPr>
        <w:t>Форматы работы</w:t>
      </w:r>
    </w:p>
    <w:tbl>
      <w:tblPr>
        <w:tblStyle w:val="TableGrid"/>
        <w:tblW w:type="dxa" w:w="9350"/>
        <w:jc w:val="left"/>
        <w:tblLook w:firstColumn="1" w:firstRow="1" w:lastColumn="0" w:lastRow="0" w:noHBand="0" w:noVBand="1" w:val="04A0"/>
        <w:tblInd w:w="80" w:type="dxa"/>
      </w:tblPr>
      <w:tblGrid>
        <w:gridCol w:w="1800"/>
        <w:gridCol w:w="4350"/>
        <w:gridCol w:w="1500"/>
        <w:gridCol w:w="1700"/>
      </w:tblGrid>
      <w:tr>
        <w:tc>
          <w:tcPr>
            <w:tcW w:type="dxa" w:w="1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Формат</w:t>
            </w:r>
          </w:p>
        </w:tc>
        <w:tc>
          <w:tcPr>
            <w:tcW w:type="dxa" w:w="43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Смысл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Срок</w:t>
            </w:r>
          </w:p>
        </w:tc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Цена входа</w:t>
            </w:r>
          </w:p>
        </w:tc>
      </w:tr>
      <w:tr>
        <w:tc>
          <w:tcPr>
            <w:tcW w:type="dxa" w:w="1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Диагностика</w:t>
            </w:r>
          </w:p>
        </w:tc>
        <w:tc>
          <w:tcPr>
            <w:tcW w:type="dxa" w:w="43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Проверить готовность, данные, владельцев, риски и право запускать работу.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7-10 рабочих дней</w:t>
            </w:r>
          </w:p>
        </w:tc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от 450 000 руб.</w:t>
            </w:r>
          </w:p>
        </w:tc>
      </w:tr>
      <w:tr>
        <w:tc>
          <w:tcPr>
            <w:tcW w:type="dxa" w:w="1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Сессия решений</w:t>
            </w:r>
          </w:p>
        </w:tc>
        <w:tc>
          <w:tcPr>
            <w:tcW w:type="dxa" w:w="43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Собрать до 5 вариантов применения ИИ с владельцами и условиями запуска / остановки.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1 день + подготовка</w:t>
            </w:r>
          </w:p>
        </w:tc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от 900 000 руб.</w:t>
            </w:r>
          </w:p>
        </w:tc>
      </w:tr>
      <w:tr>
        <w:tc>
          <w:tcPr>
            <w:tcW w:type="dxa" w:w="1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Спринт реализации</w:t>
            </w:r>
          </w:p>
        </w:tc>
        <w:tc>
          <w:tcPr>
            <w:tcW w:type="dxa" w:w="43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Проверить выбранные варианты на ограниченном управленческом контуре.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4-6 недель</w:t>
            </w:r>
          </w:p>
        </w:tc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от 2 200 000 руб.</w:t>
            </w:r>
          </w:p>
        </w:tc>
      </w:tr>
      <w:tr>
        <w:tc>
          <w:tcPr>
            <w:tcW w:type="dxa" w:w="1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Сопровождение контроля</w:t>
            </w:r>
          </w:p>
        </w:tc>
        <w:tc>
          <w:tcPr>
            <w:tcW w:type="dxa" w:w="43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Удерживать результат, корректировки, риски и решения продолжать / остановить.</w:t>
            </w:r>
          </w:p>
        </w:tc>
        <w:tc>
          <w:tcPr>
            <w:tcW w:type="dxa" w:w="1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от 3 месяцев</w:t>
            </w:r>
          </w:p>
        </w:tc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от 1 200 000 руб. / мес.</w:t>
            </w:r>
          </w:p>
        </w:tc>
      </w:tr>
    </w:tbl>
    <w:p>
      <w:pPr>
        <w:spacing w:after="60" w:line="245" w:lineRule="auto" w:before="100"/>
      </w:pPr>
      <w:r>
        <w:rPr>
          <w:rFonts w:ascii="Arial" w:hAnsi="Arial" w:eastAsia="Arial"/>
          <w:b/>
          <w:color w:val="0B1F33"/>
          <w:sz w:val="25"/>
        </w:rPr>
        <w:t>Границы обещаний</w:t>
      </w:r>
    </w:p>
    <w:tbl>
      <w:tblPr>
        <w:tblStyle w:val="TableGrid"/>
        <w:tblW w:type="dxa" w:w="9350"/>
        <w:jc w:val="left"/>
        <w:tblLook w:firstColumn="1" w:firstRow="1" w:lastColumn="0" w:lastRow="0" w:noHBand="0" w:noVBand="1" w:val="04A0"/>
        <w:tblInd w:w="80" w:type="dxa"/>
      </w:tblPr>
      <w:tblGrid>
        <w:gridCol w:w="4675"/>
        <w:gridCol w:w="4675"/>
      </w:tblGrid>
      <w:tr>
        <w:tc>
          <w:tcPr>
            <w:tcW w:type="dxa" w:w="4675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Можно обещать</w:t>
            </w:r>
          </w:p>
        </w:tc>
        <w:tc>
          <w:tcPr>
            <w:tcW w:type="dxa" w:w="4675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Нельзя обещать</w:t>
            </w:r>
          </w:p>
        </w:tc>
      </w:tr>
      <w:tr>
        <w:tc>
          <w:tcPr>
            <w:tcW w:type="dxa" w:w="4675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заполненные формы, рабочие книги, протоколы и управленческий вердикт;</w:t>
            </w:r>
          </w:p>
        </w:tc>
        <w:tc>
          <w:tcPr>
            <w:tcW w:type="dxa" w:w="4675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экономию, рост выручки или окупаемость до диагностики и данных;</w:t>
            </w:r>
          </w:p>
        </w:tc>
      </w:tr>
      <w:tr>
        <w:tc>
          <w:tcPr>
            <w:tcW w:type="dxa" w:w="4675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активный набор до 5 вариантов и условия запуска / остановки;</w:t>
            </w:r>
          </w:p>
        </w:tc>
        <w:tc>
          <w:tcPr>
            <w:tcW w:type="dxa" w:w="4675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что все идеи клиента попадут в работу;</w:t>
            </w:r>
          </w:p>
        </w:tc>
      </w:tr>
      <w:tr>
        <w:tc>
          <w:tcPr>
            <w:tcW w:type="dxa" w:w="4675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контроль внедрения, рисков, отклонений и следующего шага.</w:t>
            </w:r>
          </w:p>
        </w:tc>
        <w:tc>
          <w:tcPr>
            <w:tcW w:type="dxa" w:w="4675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4"/>
              </w:rPr>
              <w:t>что консультант заменит владельца решения внутри компании.</w:t>
            </w:r>
          </w:p>
        </w:tc>
      </w:tr>
    </w:tbl>
    <w:p>
      <w:pPr>
        <w:spacing w:after="60" w:line="245" w:lineRule="auto" w:before="100"/>
      </w:pPr>
      <w:r>
        <w:rPr>
          <w:rFonts w:ascii="Arial" w:hAnsi="Arial" w:eastAsia="Arial"/>
          <w:b/>
          <w:color w:val="0B1F33"/>
          <w:sz w:val="25"/>
        </w:rPr>
        <w:t>Как начать</w:t>
      </w:r>
    </w:p>
    <w:p>
      <w:pPr>
        <w:spacing w:after="20" w:line="245" w:lineRule="auto"/>
      </w:pPr>
      <w:r>
        <w:rPr>
          <w:rFonts w:ascii="Arial" w:hAnsi="Arial" w:eastAsia="Arial"/>
          <w:b w:val="0"/>
          <w:color w:val="1F2A37"/>
          <w:sz w:val="18"/>
        </w:rPr>
        <w:t>Рекомендуемый вход: платная диагностика. Она показывает, есть ли смысл переходить к сессии, спринту и сопровождению, или проект лучше остановить до затрат на внедрение.</w:t>
      </w:r>
    </w:p>
    <w:tbl>
      <w:tblPr>
        <w:tblW w:type="dxa" w:w="9350"/>
        <w:tblLook w:firstColumn="1" w:firstRow="1" w:lastColumn="0" w:lastRow="0" w:noHBand="0" w:noVBand="1" w:val="04A0"/>
        <w:tblInd w:w="0" w:type="dxa"/>
      </w:tblPr>
      <w:tblGrid>
        <w:gridCol w:w="9350"/>
      </w:tblGrid>
      <w:tr>
        <w:tc>
          <w:tcPr>
            <w:tcW w:type="dxa" w:w="935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F2A37"/>
                <w:sz w:val="19"/>
              </w:rPr>
              <w:t xml:space="preserve">Следующий шаг. </w:t>
            </w:r>
            <w:r>
              <w:rPr>
                <w:rFonts w:ascii="Arial" w:hAnsi="Arial" w:eastAsia="Arial"/>
                <w:b w:val="0"/>
                <w:color w:val="1F2A37"/>
                <w:sz w:val="19"/>
              </w:rPr>
              <w:t>Короткий стратегический разговор 45-60 минут: уточнить запрос, контур, доступ к данным и понять, подходит ли AI-First Переход как формат работы.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5" w:lineRule="auto"/>
      <w:jc w:val="right"/>
    </w:pPr>
    <w:r>
      <w:rPr>
        <w:rFonts w:ascii="Arial" w:hAnsi="Arial" w:eastAsia="Arial"/>
        <w:b w:val="0"/>
        <w:color w:val="667085"/>
        <w:sz w:val="16"/>
      </w:rPr>
      <w:t>AI-First Переход | одностраничный оффер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