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</w:pPr>
      <w:r>
        <w:rPr>
          <w:rFonts w:ascii="Arial" w:hAnsi="Arial" w:eastAsia="Arial"/>
          <w:b w:val="0"/>
          <w:color w:val="667085"/>
          <w:sz w:val="19"/>
        </w:rPr>
        <w:t>C-Level Insight | AI-First Переход</w:t>
      </w: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35" w:type="dxa"/>
              <w:start w:w="150" w:type="dxa"/>
              <w:bottom w:w="115" w:type="dxa"/>
              <w:end w:w="150" w:type="dxa"/>
            </w:tcMar>
          </w:tcPr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FFFFFF"/>
                <w:sz w:val="44"/>
              </w:rPr>
              <w:t>AI-First Переход - продукты, сроки и цены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E8EEF5"/>
                <w:sz w:val="23"/>
              </w:rPr>
              <w:t>Коммерческая упаковка технологии для первого управленческого уровня</w:t>
            </w:r>
          </w:p>
        </w:tc>
      </w:tr>
    </w:tbl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4EFE6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2A37"/>
                <w:sz w:val="17"/>
              </w:rPr>
              <w:t>Статус / финальный документ</w:t>
            </w:r>
          </w:p>
        </w:tc>
        <w:tc>
          <w:tcPr>
            <w:tcW w:type="dxa" w:w="22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4EFE6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2A37"/>
                <w:sz w:val="17"/>
              </w:rPr>
              <w:t>Версия / v1.0</w:t>
            </w:r>
          </w:p>
        </w:tc>
        <w:tc>
          <w:tcPr>
            <w:tcW w:type="dxa" w:w="22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4EFE6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2A37"/>
                <w:sz w:val="17"/>
              </w:rPr>
              <w:t>Дата / 16 июля 2026</w:t>
            </w:r>
          </w:p>
        </w:tc>
        <w:tc>
          <w:tcPr>
            <w:tcW w:type="dxa" w:w="22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4EFE6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2A37"/>
                <w:sz w:val="17"/>
              </w:rPr>
              <w:t>Основание / продуктовая упаковка</w:t>
            </w:r>
          </w:p>
        </w:tc>
      </w:tr>
      <w:tr>
        <w:tc>
          <w:tcPr>
            <w:tcW w:type="dxa" w:w="9000"/>
            <w:gridSpan w:val="4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4EFE6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Аудитория / собственник, генеральный директор, первый управленческий уровень</w:t>
            </w:r>
          </w:p>
        </w:tc>
      </w:tr>
    </w:tbl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B1F33"/>
                <w:sz w:val="21"/>
              </w:rPr>
              <w:t xml:space="preserve">Главная ценовая логика. </w:t>
            </w:r>
            <w:r>
              <w:rPr>
                <w:rFonts w:ascii="Arial" w:hAnsi="Arial"/>
                <w:color w:val="1F2A37"/>
                <w:sz w:val="21"/>
              </w:rPr>
              <w:t>Документ фиксирует рабочую коммерческую сетку. Цены не являются обещанием финансового эффекта: эффект обсуждается только после диагностики, данных, владельца результата и понятного контура применения ИИ.</w:t>
            </w:r>
          </w:p>
        </w:tc>
      </w:tr>
    </w:tbl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1. Что является ценностью</w:t>
      </w:r>
    </w:p>
    <w:p>
      <w:pPr>
        <w:spacing w:after="80" w:line="259" w:lineRule="auto"/>
      </w:pPr>
      <w:r>
        <w:rPr>
          <w:rFonts w:ascii="Arial" w:hAnsi="Arial" w:eastAsia="Arial"/>
          <w:b w:val="0"/>
          <w:color w:val="1F2A37"/>
          <w:sz w:val="21"/>
        </w:rPr>
        <w:t>AI-First Переход продается не как обучение ИИ-инструментам, не как техническое внедрение и не как набор шаблонов. Клиент платит за управляемый переход от разрозненных ИИ-инициатив к ограниченному набору решений, которые можно проверять, запускать, останавливать и контролировать на уровне бизнеса.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100"/>
        <w:gridCol w:w="5900"/>
      </w:tblGrid>
      <w:tr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Клиент платит за</w:t>
            </w:r>
          </w:p>
        </w:tc>
        <w:tc>
          <w:tcPr>
            <w:tcW w:type="dxa" w:w="5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это дает</w:t>
            </w:r>
          </w:p>
        </w:tc>
      </w:tr>
      <w:tr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Вердикт готовности</w:t>
            </w:r>
          </w:p>
        </w:tc>
        <w:tc>
          <w:tcPr>
            <w:tcW w:type="dxa" w:w="5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Понятно, можно ли начинать работу сейчас, при каких условиях или почему запуск надо отложить.</w:t>
            </w:r>
          </w:p>
        </w:tc>
      </w:tr>
      <w:tr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Решение запускать / не запускать</w:t>
            </w:r>
          </w:p>
        </w:tc>
        <w:tc>
          <w:tcPr>
            <w:tcW w:type="dxa" w:w="5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Компания не тратит деньги на инициативы без владельца, данных, экономики или условий остановки.</w:t>
            </w:r>
          </w:p>
        </w:tc>
      </w:tr>
      <w:tr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Активный набор не более 5 вариантов</w:t>
            </w:r>
          </w:p>
        </w:tc>
        <w:tc>
          <w:tcPr>
            <w:tcW w:type="dxa" w:w="5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Фокус руководства сохраняется; ИИ не превращается в бесконечный список пилотов.</w:t>
            </w:r>
          </w:p>
        </w:tc>
      </w:tr>
      <w:tr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Связку данных, процесса, денег и людей</w:t>
            </w:r>
          </w:p>
        </w:tc>
        <w:tc>
          <w:tcPr>
            <w:tcW w:type="dxa" w:w="5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ИИ рассматривается как управленческое изменение, а не как игрушка отдела автоматизации.</w:t>
            </w:r>
          </w:p>
        </w:tc>
      </w:tr>
      <w:tr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Документальный след</w:t>
            </w:r>
          </w:p>
        </w:tc>
        <w:tc>
          <w:tcPr>
            <w:tcW w:type="dxa" w:w="5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Остаются протоколы, рабочие книги, решения и основания для контроля.</w:t>
            </w:r>
          </w:p>
        </w:tc>
      </w:tr>
      <w:tr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Контроль внедрения</w:t>
            </w:r>
          </w:p>
        </w:tc>
        <w:tc>
          <w:tcPr>
            <w:tcW w:type="dxa" w:w="5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Решения не растворяются после сессии; появляется проверка результата, рисков и следующего действия.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2. Цена ошибки ИИ-перехода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B1F33"/>
                <w:sz w:val="21"/>
              </w:rPr>
              <w:t xml:space="preserve">Ограничение. </w:t>
            </w:r>
            <w:r>
              <w:rPr>
                <w:rFonts w:ascii="Arial" w:hAnsi="Arial"/>
                <w:color w:val="1F2A37"/>
                <w:sz w:val="21"/>
              </w:rPr>
              <w:t>В публичной коммуникации нельзя называть проценты экономии, рост выручки или окупаемость без данных клиента. Цена ошибки используется как рамка для разговора, а не как неподтвержденный расчет.</w:t>
            </w:r>
          </w:p>
        </w:tc>
      </w:tr>
    </w:tbl>
    <w:p>
      <w:pPr>
        <w:spacing w:after="80" w:line="259" w:lineRule="auto"/>
      </w:pPr>
      <w:r>
        <w:rPr>
          <w:rFonts w:ascii="Arial" w:hAnsi="Arial" w:eastAsia="Arial"/>
          <w:b w:val="0"/>
          <w:color w:val="1F2A37"/>
          <w:sz w:val="21"/>
        </w:rPr>
        <w:t>Цена ошибки ИИ-перехода складывается из прямых затрат, управленческого шума и риска неверных решений.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Источник ошибки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Как проявляется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 это коммерчески важно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Пилот без владельца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Проект запущен, но никто не отвечает за результат и остановку.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Деньги и внимание уходят в имитацию движения.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Нет данных или доступа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Команда обсуждает ИИ, но не может проверить исходные факты.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Решение строится на предположениях.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Нет экономической логики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 ясно, что именно должно измениться в деньгах, сроках, качестве или риске.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Нельзя защитить бюджет и нельзя доказать результат.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Слишком много инициатив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В работе одновременно больше 5 вариантов применения ИИ.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Компания теряет управляемость и фокус.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Сопротивление людей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Сотрудники не понимают роль ИИ или боятся потери контроля.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Решение формально внедрено, но фактически не используется.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3. Продуктовая лестница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1500"/>
        <w:gridCol w:w="1550"/>
      </w:tblGrid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Роль и результат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Срок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Цена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Диагностика ИИ-перехода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Платный вход. Проверяет запрос, готовность, ограничения, данные, владельцев и основания для решения запускать / не запускать.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7-10 рабочих дней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450 000 - 750 000 руб.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Расширенная диагностика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Проверяет несколько функций, управленческих контуров или групп инициатив; нужна при неясной картине и большем числе участников.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10-15 рабочих дней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750 000 - 1 200 000 руб.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Сессия решений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Вырабатывает активный набор вариантов применения ИИ: не более 5, с владельцами, рисками, условиями запуска и остановки.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1 день + подготовка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900 000 - 1 600 000 руб.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Расширенная сессия решений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Работа с первым управленческим уровнем, несколькими функциями и спорными приоритетами.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2 дня + подготовка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1 600 000 - 2 400 000 руб.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Спринт реализации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Переводит выбранные варианты в действия, зависимости, промежуточные результаты и управленческие решения.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4-6 недель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2 200 000 - 4 000 000 руб.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Расширенный спринт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Нужен, если контур шире одного подразделения или есть несколько связанных вариантов применения ИИ.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6-8 недель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4 000 000 - 6 500 000 руб.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Сопровождение контроля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Удерживает решения после внедрения: проверки, корректировки, остановки, продолжения и следующий цикл.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 3 месяцев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1 200 000 - 2 200 000 руб. / мес.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Контур собственника / первого уровня</w:t>
            </w:r>
          </w:p>
        </w:tc>
        <w:tc>
          <w:tcPr>
            <w:tcW w:type="dxa" w:w="40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Для ситуаций с высокой ценой ошибки, конфликтом приоритетов и необходимостью регулярного управленческого контроля.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 3 месяцев</w:t>
            </w:r>
          </w:p>
        </w:tc>
        <w:tc>
          <w:tcPr>
            <w:tcW w:type="dxa" w:w="1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2 200 000 - 3 500 000 руб. / мес.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4. Публичная ценовая подача</w:t>
      </w:r>
    </w:p>
    <w:p>
      <w:pPr>
        <w:spacing w:after="80" w:line="259" w:lineRule="auto"/>
      </w:pPr>
      <w:r>
        <w:rPr>
          <w:rFonts w:ascii="Arial" w:hAnsi="Arial" w:eastAsia="Arial"/>
          <w:b w:val="0"/>
          <w:color w:val="1F2A37"/>
          <w:sz w:val="21"/>
        </w:rPr>
        <w:t>На сайте и в первом коммерческом материале цену лучше показывать после ценности и границ технологии. Не продавать часы консультанта и не обещать автоматический финансовый результат.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2100"/>
        <w:gridCol w:w="5000"/>
      </w:tblGrid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Формат</w:t>
            </w:r>
          </w:p>
        </w:tc>
        <w:tc>
          <w:tcPr>
            <w:tcW w:type="dxa" w:w="2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Публично</w:t>
            </w:r>
          </w:p>
        </w:tc>
        <w:tc>
          <w:tcPr>
            <w:tcW w:type="dxa" w:w="5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говорить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Диагностика</w:t>
            </w:r>
          </w:p>
        </w:tc>
        <w:tc>
          <w:tcPr>
            <w:tcW w:type="dxa" w:w="2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от 450 000 руб.</w:t>
            </w:r>
          </w:p>
        </w:tc>
        <w:tc>
          <w:tcPr>
            <w:tcW w:type="dxa" w:w="5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Проверка готовности и вердикт: запускать, запускать при условиях, отложить или не запускать.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Сессия решений</w:t>
            </w:r>
          </w:p>
        </w:tc>
        <w:tc>
          <w:tcPr>
            <w:tcW w:type="dxa" w:w="2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от 900 000 руб.</w:t>
            </w:r>
          </w:p>
        </w:tc>
        <w:tc>
          <w:tcPr>
            <w:tcW w:type="dxa" w:w="5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Активный набор до 5 вариантов применения ИИ с владельцами, рисками и условиями запуска.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Спринт реализации</w:t>
            </w:r>
          </w:p>
        </w:tc>
        <w:tc>
          <w:tcPr>
            <w:tcW w:type="dxa" w:w="2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от 2 200 000 руб.</w:t>
            </w:r>
          </w:p>
        </w:tc>
        <w:tc>
          <w:tcPr>
            <w:tcW w:type="dxa" w:w="5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Проверка выбранных вариантов на ограниченном управленческом контуре.</w:t>
            </w:r>
          </w:p>
        </w:tc>
      </w:tr>
      <w:tr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Сопровождение контроля</w:t>
            </w:r>
          </w:p>
        </w:tc>
        <w:tc>
          <w:tcPr>
            <w:tcW w:type="dxa" w:w="2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от 1 200 000 руб. / мес.</w:t>
            </w:r>
          </w:p>
        </w:tc>
        <w:tc>
          <w:tcPr>
            <w:tcW w:type="dxa" w:w="5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Регулярный контроль результата, рисков, корректировок и решений продолжать / остановить.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5. Пакеты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3100"/>
        <w:gridCol w:w="150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2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Состав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Для кого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Цена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Диагноз</w:t>
            </w:r>
          </w:p>
        </w:tc>
        <w:tc>
          <w:tcPr>
            <w:tcW w:type="dxa" w:w="2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Клиент понимает, что ИИ нужен, но не понимает, готова ли компания и с чего начинать.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450 000 - 750 000 руб.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Решение</w:t>
            </w:r>
          </w:p>
        </w:tc>
        <w:tc>
          <w:tcPr>
            <w:tcW w:type="dxa" w:w="2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Диагностика + сессия решений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Готовность подтверждена; нужен управленческий выбор ограниченного набора вариантов.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1 400 000 - 2 300 000 руб.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Проверка</w:t>
            </w:r>
          </w:p>
        </w:tc>
        <w:tc>
          <w:tcPr>
            <w:tcW w:type="dxa" w:w="2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Диагностика + сессия + спринт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не только выбрать, но и проверить решения на практике.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3 600 000 - 6 500 000 руб.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Диагностика + сессия + спринт + 3 месяца сопровождения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риск отката, потери фокуса или расползания инициатив после запуска.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7 200 000 - 13 000 000 руб.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Контур первого уровня</w:t>
            </w:r>
          </w:p>
        </w:tc>
        <w:tc>
          <w:tcPr>
            <w:tcW w:type="dxa" w:w="2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Расширенная диагностика + расширенная сессия + расширенный спринт + сопровождение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Первый управленческий уровень, несколько функций, высокая цена ошибки.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 12 000 000 руб.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6. Как калибровать цену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Цена растет, если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Цена снижается, если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В проекте участвует первый управленческий уровень, несколько функций или конфликт приоритетов.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Контур узкий: один процесс, один владелец, одна управленческая проблема.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Нужно разбирать текущие ИИ-инициативы, данные, владельцев, риски и экономику одновременно.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У клиента уже есть данные, владельцы, протоколы решений и понятная цель.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Есть высокая цена ошибки: бюджет, репутация, персональные данные, клиентский опыт или операционный риск.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Нужна только диагностика или сессия без сопровождения реализации.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Активный набор вариантов затрагивает несколько подразделений и требует согласования зависимостей.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ИИ используется как вспомогательный инструмент, а не как изменение управленческого контура.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7. Гарантии и границы обещаний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65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можно гарантировать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нельзя обещать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Диагностика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Заполненные формы, рабочая книга, карта ограничений и вердикт готовности.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Нельзя обещать, что компания обязательно готова к запуску.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Сессия решений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Активный набор не более 5 вариантов и протокол решений.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Нельзя обещать, что все желаемые идеи попадут в активный набор.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Спринт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План действий, фиксацию отклонений, решений и промежуточного результата.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Нельзя обещать финансовый эффект без исходных данных и контрольного контура.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Сопровождение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Регулярный контроль, корректировки, обновление рисков и решение о следующем шаге.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Нельзя подменять ответственность владельца решения работой консультанта.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8. Жесткие правила продажи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Диагностика не должна быть бесплатной: бесплатный вход обесценивает проверку готовности и притягивает нецелевые запросы.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Не продавать шаблоны отдельно как главный продукт: без управленческого решения они превращаются в набор файлов.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Не обещать экономию, рост выручки или окупаемость до проверки данных клиента.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Не расширять активный набор выше 5 вариантов применения ИИ.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Не продавать техническое внедрение, если запрос требует инженерного проекта, разработки или интеграции систем.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Не брать запрос, где руководитель хочет подтвердить уже принятое решение, а не проверить его.</w:t>
      </w: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9. Для кого не подходит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100"/>
        <w:gridCol w:w="4900"/>
      </w:tblGrid>
      <w:tr>
        <w:tc>
          <w:tcPr>
            <w:tcW w:type="dxa" w:w="4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Не подходит, если клиент</w:t>
            </w:r>
          </w:p>
        </w:tc>
        <w:tc>
          <w:tcPr>
            <w:tcW w:type="dxa" w:w="4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0B1F33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Коммерческое решение</w:t>
            </w:r>
          </w:p>
        </w:tc>
      </w:tr>
      <w:tr>
        <w:tc>
          <w:tcPr>
            <w:tcW w:type="dxa" w:w="4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Ищет обучение промптам вместо управленческого перехода.</w:t>
            </w:r>
          </w:p>
        </w:tc>
        <w:tc>
          <w:tcPr>
            <w:tcW w:type="dxa" w:w="4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Предложить другой формат или отказаться.</w:t>
            </w:r>
          </w:p>
        </w:tc>
      </w:tr>
      <w:tr>
        <w:tc>
          <w:tcPr>
            <w:tcW w:type="dxa" w:w="4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 готов дать данные, владельцев и доступ к лицам, принимающим решения.</w:t>
            </w:r>
          </w:p>
        </w:tc>
        <w:tc>
          <w:tcPr>
            <w:tcW w:type="dxa" w:w="4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Не начинать диагностику или ограничить ее рамками доступных фактов.</w:t>
            </w:r>
          </w:p>
        </w:tc>
      </w:tr>
      <w:tr>
        <w:tc>
          <w:tcPr>
            <w:tcW w:type="dxa" w:w="4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Требует гарантированный финансовый эффект до диагностики.</w:t>
            </w:r>
          </w:p>
        </w:tc>
        <w:tc>
          <w:tcPr>
            <w:tcW w:type="dxa" w:w="4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Объяснить границы; не обещать цифры.</w:t>
            </w:r>
          </w:p>
        </w:tc>
      </w:tr>
      <w:tr>
        <w:tc>
          <w:tcPr>
            <w:tcW w:type="dxa" w:w="4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Хочет запустить много инициатив одновременно.</w:t>
            </w:r>
          </w:p>
        </w:tc>
        <w:tc>
          <w:tcPr>
            <w:tcW w:type="dxa" w:w="4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AF8F4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Вернуть к правилу активного набора не более 5 вариантов.</w:t>
            </w:r>
          </w:p>
        </w:tc>
      </w:tr>
      <w:tr>
        <w:tc>
          <w:tcPr>
            <w:tcW w:type="dxa" w:w="4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Пытается переложить ответственность за решение на консультанта.</w:t>
            </w:r>
          </w:p>
        </w:tc>
        <w:tc>
          <w:tcPr>
            <w:tcW w:type="dxa" w:w="4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6"/>
              </w:rPr>
              <w:t>Вернуть владельца решения и право остановки внутрь компании.</w:t>
            </w:r>
          </w:p>
        </w:tc>
      </w:tr>
    </w:tbl>
    <w:p>
      <w:pPr>
        <w:spacing w:after="40"/>
      </w:pPr>
    </w:p>
    <w:p>
      <w:pPr>
        <w:pStyle w:val="Heading1"/>
        <w:spacing w:after="140" w:line="259" w:lineRule="auto" w:before="240"/>
      </w:pPr>
      <w:r>
        <w:rPr>
          <w:rFonts w:ascii="Arial" w:hAnsi="Arial" w:eastAsia="Arial"/>
          <w:b/>
          <w:color w:val="0B1F33"/>
          <w:sz w:val="36"/>
        </w:rPr>
        <w:t>10. Что еще нужно для коммерческого слоя</w:t>
      </w:r>
    </w:p>
    <w:p>
      <w:pPr>
        <w:spacing w:after="80" w:line="259" w:lineRule="auto"/>
      </w:pPr>
      <w:r>
        <w:rPr>
          <w:rFonts w:ascii="Arial" w:hAnsi="Arial" w:eastAsia="Arial"/>
          <w:b w:val="0"/>
          <w:color w:val="1F2A37"/>
          <w:sz w:val="21"/>
        </w:rPr>
        <w:t>Этот документ закрывает цены и упаковку. Для полной продажи технологии дальше нужны два отдельных коммерческих материала: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одностраничный оффер: короткое объяснение боли, результата, форматов, цены входа и следующего шага;</w:t>
      </w:r>
    </w:p>
    <w:p>
      <w:pPr>
        <w:pStyle w:val="ListBullet"/>
        <w:spacing w:after="40" w:line="259" w:lineRule="auto"/>
        <w:ind w:left="360" w:hanging="173"/>
      </w:pPr>
      <w:r>
        <w:rPr>
          <w:rFonts w:ascii="Arial" w:hAnsi="Arial" w:eastAsia="Arial"/>
          <w:b w:val="0"/>
          <w:color w:val="1F2A37"/>
          <w:sz w:val="20"/>
        </w:rPr>
        <w:t>презентация: 8-12 слайдов для первого разговора с собственником, генеральным директором или первым управленческим уровнем.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B1F33"/>
                <w:sz w:val="21"/>
              </w:rPr>
              <w:t xml:space="preserve">Итог. </w:t>
            </w:r>
            <w:r>
              <w:rPr>
                <w:rFonts w:ascii="Arial" w:hAnsi="Arial"/>
                <w:color w:val="1F2A37"/>
                <w:sz w:val="21"/>
              </w:rPr>
              <w:t>Рекомендуемая публичная лестница: Диагностика от 450 000 руб.; Сессия решений от 900 000 руб.; Спринт реализации от 2 200 000 руб.; Сопровождение контроля от 1 200 000 руб. / мес. Полный цикл без сопровождения должен восприниматься как проверка управляемого ИИ-перехода, а не как обучение или техническое внедрение.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9" w:lineRule="auto"/>
      <w:jc w:val="right"/>
    </w:pPr>
    <w:r>
      <w:rPr>
        <w:rFonts w:ascii="Arial" w:hAnsi="Arial" w:eastAsia="Arial"/>
        <w:b w:val="0"/>
        <w:color w:val="667085"/>
        <w:sz w:val="17"/>
      </w:rPr>
      <w:t>Продукты, сроки и цены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